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noWrap w:val="0"/>
            <w:vAlign w:val="top"/>
          </w:tcPr>
          <w:p>
            <w:pPr>
              <w:adjustRightInd w:val="0"/>
              <w:snapToGrid w:val="0"/>
              <w:spacing w:line="440" w:lineRule="exact"/>
              <w:rPr>
                <w:rFonts w:hint="eastAsia"/>
                <w:color w:val="auto"/>
                <w:sz w:val="24"/>
              </w:rPr>
            </w:pPr>
            <w:r>
              <w:rPr>
                <w:rFonts w:hint="eastAsia"/>
                <w:color w:val="auto"/>
                <w:sz w:val="24"/>
              </w:rPr>
              <w:t>证券代码：000881</w:t>
            </w:r>
          </w:p>
        </w:tc>
        <w:tc>
          <w:tcPr>
            <w:tcW w:w="1667" w:type="pct"/>
            <w:noWrap w:val="0"/>
            <w:vAlign w:val="top"/>
          </w:tcPr>
          <w:p>
            <w:pPr>
              <w:adjustRightInd w:val="0"/>
              <w:snapToGrid w:val="0"/>
              <w:spacing w:line="440" w:lineRule="exact"/>
              <w:jc w:val="center"/>
              <w:rPr>
                <w:rFonts w:hint="eastAsia"/>
                <w:color w:val="auto"/>
                <w:sz w:val="24"/>
              </w:rPr>
            </w:pPr>
            <w:r>
              <w:rPr>
                <w:rFonts w:hint="eastAsia"/>
                <w:color w:val="auto"/>
                <w:sz w:val="24"/>
              </w:rPr>
              <w:t>证券简称：中广核技</w:t>
            </w:r>
          </w:p>
        </w:tc>
        <w:tc>
          <w:tcPr>
            <w:tcW w:w="1667" w:type="pct"/>
            <w:noWrap w:val="0"/>
            <w:vAlign w:val="top"/>
          </w:tcPr>
          <w:p>
            <w:pPr>
              <w:adjustRightInd w:val="0"/>
              <w:snapToGrid w:val="0"/>
              <w:spacing w:line="440" w:lineRule="exact"/>
              <w:jc w:val="right"/>
              <w:rPr>
                <w:rFonts w:hint="default" w:eastAsia="宋体"/>
                <w:color w:val="auto"/>
                <w:sz w:val="24"/>
                <w:lang w:val="en-US" w:eastAsia="zh-CN"/>
              </w:rPr>
            </w:pPr>
            <w:r>
              <w:rPr>
                <w:rFonts w:hint="eastAsia"/>
                <w:color w:val="auto"/>
                <w:sz w:val="24"/>
              </w:rPr>
              <w:t>公告编号：202</w:t>
            </w:r>
            <w:r>
              <w:rPr>
                <w:rFonts w:hint="eastAsia"/>
                <w:color w:val="auto"/>
                <w:sz w:val="24"/>
                <w:lang w:val="en-US" w:eastAsia="zh-CN"/>
              </w:rPr>
              <w:t>4</w:t>
            </w:r>
            <w:r>
              <w:rPr>
                <w:color w:val="auto"/>
                <w:sz w:val="24"/>
              </w:rPr>
              <w:t>-</w:t>
            </w:r>
            <w:r>
              <w:rPr>
                <w:rFonts w:hint="eastAsia"/>
                <w:color w:val="auto"/>
                <w:sz w:val="24"/>
              </w:rPr>
              <w:t>0</w:t>
            </w:r>
            <w:r>
              <w:rPr>
                <w:rFonts w:hint="eastAsia"/>
                <w:color w:val="auto"/>
                <w:sz w:val="24"/>
                <w:lang w:val="en-US" w:eastAsia="zh-CN"/>
              </w:rPr>
              <w:t>31</w:t>
            </w:r>
          </w:p>
        </w:tc>
      </w:tr>
    </w:tbl>
    <w:p>
      <w:pPr>
        <w:snapToGrid w:val="0"/>
        <w:spacing w:before="156" w:beforeLines="50"/>
        <w:jc w:val="center"/>
        <w:rPr>
          <w:rFonts w:hint="eastAsia"/>
          <w:b/>
          <w:color w:val="auto"/>
          <w:sz w:val="36"/>
          <w:szCs w:val="36"/>
        </w:rPr>
      </w:pPr>
      <w:r>
        <w:rPr>
          <w:rFonts w:hint="eastAsia"/>
          <w:b/>
          <w:color w:val="auto"/>
          <w:sz w:val="36"/>
          <w:szCs w:val="36"/>
        </w:rPr>
        <w:t>中广核核技术发展股份有限公司</w:t>
      </w:r>
    </w:p>
    <w:p>
      <w:pPr>
        <w:snapToGrid w:val="0"/>
        <w:spacing w:before="156" w:beforeLines="50"/>
        <w:jc w:val="center"/>
        <w:rPr>
          <w:b/>
          <w:color w:val="auto"/>
          <w:sz w:val="36"/>
          <w:szCs w:val="36"/>
        </w:rPr>
      </w:pPr>
      <w:r>
        <w:rPr>
          <w:rFonts w:hint="eastAsia"/>
          <w:b/>
          <w:color w:val="auto"/>
          <w:sz w:val="36"/>
          <w:szCs w:val="36"/>
        </w:rPr>
        <w:t>关于202</w:t>
      </w:r>
      <w:r>
        <w:rPr>
          <w:rFonts w:hint="eastAsia"/>
          <w:b/>
          <w:color w:val="auto"/>
          <w:sz w:val="36"/>
          <w:szCs w:val="36"/>
          <w:lang w:val="en-US" w:eastAsia="zh-CN"/>
        </w:rPr>
        <w:t>3</w:t>
      </w:r>
      <w:r>
        <w:rPr>
          <w:rFonts w:hint="eastAsia"/>
          <w:b/>
          <w:color w:val="auto"/>
          <w:sz w:val="36"/>
          <w:szCs w:val="36"/>
        </w:rPr>
        <w:t>年度计提</w:t>
      </w:r>
      <w:r>
        <w:rPr>
          <w:rFonts w:hint="eastAsia"/>
          <w:b/>
          <w:color w:val="auto"/>
          <w:sz w:val="36"/>
          <w:szCs w:val="36"/>
          <w:lang w:val="en-US" w:eastAsia="zh-CN"/>
        </w:rPr>
        <w:t>信用及</w:t>
      </w:r>
      <w:r>
        <w:rPr>
          <w:rFonts w:hint="eastAsia"/>
          <w:b/>
          <w:color w:val="auto"/>
          <w:sz w:val="36"/>
          <w:szCs w:val="36"/>
        </w:rPr>
        <w:t>资产减值准备的公告</w:t>
      </w:r>
    </w:p>
    <w:p>
      <w:pPr>
        <w:snapToGrid w:val="0"/>
        <w:spacing w:before="156" w:beforeLines="50" w:line="360" w:lineRule="auto"/>
        <w:ind w:firstLine="422" w:firstLineChars="200"/>
        <w:rPr>
          <w:rFonts w:hint="eastAsia"/>
          <w:b/>
          <w:color w:val="auto"/>
          <w:szCs w:val="21"/>
        </w:rPr>
      </w:pPr>
      <w:r>
        <w:rPr>
          <w:rFonts w:hint="eastAsia"/>
          <w:b/>
          <w:color w:val="auto"/>
          <w:szCs w:val="21"/>
        </w:rPr>
        <w:t>本公司及董事会全体成员保证信息披露的内容真实、准确、完整，没有虚假记载、误导性陈述或者重大遗漏。</w:t>
      </w:r>
    </w:p>
    <w:p>
      <w:pPr>
        <w:spacing w:line="360" w:lineRule="auto"/>
        <w:ind w:firstLine="480" w:firstLineChars="200"/>
        <w:rPr>
          <w:rFonts w:hint="eastAsia"/>
          <w:bCs/>
          <w:color w:val="auto"/>
          <w:kern w:val="0"/>
          <w:sz w:val="24"/>
          <w:szCs w:val="24"/>
        </w:rPr>
      </w:pPr>
      <w:r>
        <w:rPr>
          <w:rFonts w:hint="eastAsia"/>
          <w:bCs/>
          <w:color w:val="auto"/>
          <w:kern w:val="0"/>
          <w:sz w:val="24"/>
          <w:szCs w:val="24"/>
        </w:rPr>
        <w:t>202</w:t>
      </w:r>
      <w:r>
        <w:rPr>
          <w:rFonts w:hint="eastAsia"/>
          <w:bCs/>
          <w:color w:val="auto"/>
          <w:kern w:val="0"/>
          <w:sz w:val="24"/>
          <w:szCs w:val="24"/>
          <w:lang w:val="en-US" w:eastAsia="zh-CN"/>
        </w:rPr>
        <w:t>4</w:t>
      </w:r>
      <w:r>
        <w:rPr>
          <w:rFonts w:hint="eastAsia"/>
          <w:bCs/>
          <w:color w:val="auto"/>
          <w:kern w:val="0"/>
          <w:sz w:val="24"/>
          <w:szCs w:val="24"/>
        </w:rPr>
        <w:t>年4月2</w:t>
      </w:r>
      <w:r>
        <w:rPr>
          <w:rFonts w:hint="eastAsia"/>
          <w:bCs/>
          <w:color w:val="auto"/>
          <w:kern w:val="0"/>
          <w:sz w:val="24"/>
          <w:szCs w:val="24"/>
          <w:lang w:val="en-US" w:eastAsia="zh-CN"/>
        </w:rPr>
        <w:t>5</w:t>
      </w:r>
      <w:r>
        <w:rPr>
          <w:rFonts w:hint="eastAsia"/>
          <w:bCs/>
          <w:color w:val="auto"/>
          <w:kern w:val="0"/>
          <w:sz w:val="24"/>
          <w:szCs w:val="24"/>
        </w:rPr>
        <w:t>日，中广核核技术发展股份有限公司（以下简称“公司”）第</w:t>
      </w:r>
      <w:r>
        <w:rPr>
          <w:rFonts w:hint="eastAsia"/>
          <w:bCs/>
          <w:color w:val="auto"/>
          <w:kern w:val="0"/>
          <w:sz w:val="24"/>
          <w:szCs w:val="24"/>
          <w:lang w:val="en-US" w:eastAsia="zh-CN"/>
        </w:rPr>
        <w:t>十</w:t>
      </w:r>
      <w:r>
        <w:rPr>
          <w:rFonts w:hint="eastAsia"/>
          <w:bCs/>
          <w:color w:val="auto"/>
          <w:kern w:val="0"/>
          <w:sz w:val="24"/>
          <w:szCs w:val="24"/>
        </w:rPr>
        <w:t>届董事会第</w:t>
      </w:r>
      <w:r>
        <w:rPr>
          <w:rFonts w:hint="eastAsia"/>
          <w:bCs/>
          <w:color w:val="auto"/>
          <w:kern w:val="0"/>
          <w:sz w:val="24"/>
          <w:szCs w:val="24"/>
          <w:lang w:val="en-US" w:eastAsia="zh-CN"/>
        </w:rPr>
        <w:t>十五</w:t>
      </w:r>
      <w:r>
        <w:rPr>
          <w:rFonts w:hint="eastAsia"/>
          <w:bCs/>
          <w:color w:val="auto"/>
          <w:kern w:val="0"/>
          <w:sz w:val="24"/>
          <w:szCs w:val="24"/>
        </w:rPr>
        <w:t>次会议审议通过了《关于202</w:t>
      </w:r>
      <w:r>
        <w:rPr>
          <w:rFonts w:hint="eastAsia"/>
          <w:bCs/>
          <w:color w:val="auto"/>
          <w:kern w:val="0"/>
          <w:sz w:val="24"/>
          <w:szCs w:val="24"/>
          <w:lang w:val="en-US" w:eastAsia="zh-CN"/>
        </w:rPr>
        <w:t>3</w:t>
      </w:r>
      <w:r>
        <w:rPr>
          <w:rFonts w:hint="eastAsia"/>
          <w:bCs/>
          <w:color w:val="auto"/>
          <w:kern w:val="0"/>
          <w:sz w:val="24"/>
          <w:szCs w:val="24"/>
        </w:rPr>
        <w:t>年</w:t>
      </w:r>
      <w:r>
        <w:rPr>
          <w:rFonts w:hint="eastAsia"/>
          <w:bCs/>
          <w:color w:val="auto"/>
          <w:kern w:val="0"/>
          <w:sz w:val="24"/>
          <w:szCs w:val="24"/>
          <w:lang w:val="en-US" w:eastAsia="zh-CN"/>
        </w:rPr>
        <w:t>信用及</w:t>
      </w:r>
      <w:r>
        <w:rPr>
          <w:rFonts w:hint="eastAsia"/>
          <w:bCs/>
          <w:color w:val="auto"/>
          <w:kern w:val="0"/>
          <w:sz w:val="24"/>
          <w:szCs w:val="24"/>
        </w:rPr>
        <w:t>资产减值准备</w:t>
      </w:r>
      <w:r>
        <w:rPr>
          <w:rFonts w:hint="eastAsia"/>
          <w:bCs/>
          <w:color w:val="auto"/>
          <w:kern w:val="0"/>
          <w:sz w:val="24"/>
          <w:szCs w:val="24"/>
          <w:lang w:val="en-US" w:eastAsia="zh-CN"/>
        </w:rPr>
        <w:t>计提及转回</w:t>
      </w:r>
      <w:r>
        <w:rPr>
          <w:rFonts w:hint="eastAsia"/>
          <w:bCs/>
          <w:color w:val="auto"/>
          <w:kern w:val="0"/>
          <w:sz w:val="24"/>
          <w:szCs w:val="24"/>
        </w:rPr>
        <w:t>的议案》。现将具体情况公告如下：</w:t>
      </w:r>
    </w:p>
    <w:p>
      <w:pPr>
        <w:spacing w:line="360" w:lineRule="auto"/>
        <w:ind w:firstLine="482" w:firstLineChars="200"/>
        <w:rPr>
          <w:rFonts w:hint="eastAsia"/>
          <w:b/>
          <w:bCs/>
          <w:color w:val="auto"/>
          <w:kern w:val="0"/>
          <w:sz w:val="24"/>
          <w:szCs w:val="24"/>
        </w:rPr>
      </w:pPr>
      <w:r>
        <w:rPr>
          <w:rFonts w:hint="eastAsia"/>
          <w:b/>
          <w:bCs/>
          <w:color w:val="auto"/>
          <w:kern w:val="0"/>
          <w:sz w:val="24"/>
          <w:szCs w:val="24"/>
        </w:rPr>
        <w:t>一、计提减值准备情况概述</w:t>
      </w:r>
    </w:p>
    <w:p>
      <w:pPr>
        <w:spacing w:line="360" w:lineRule="auto"/>
        <w:ind w:firstLine="480" w:firstLineChars="200"/>
        <w:rPr>
          <w:rFonts w:hint="default" w:eastAsia="宋体"/>
          <w:b w:val="0"/>
          <w:bCs/>
          <w:color w:val="auto"/>
          <w:kern w:val="0"/>
          <w:sz w:val="24"/>
          <w:szCs w:val="24"/>
          <w:lang w:val="en-US" w:eastAsia="zh-CN"/>
        </w:rPr>
      </w:pPr>
      <w:r>
        <w:rPr>
          <w:rFonts w:hint="eastAsia"/>
          <w:b w:val="0"/>
          <w:bCs/>
          <w:color w:val="auto"/>
          <w:kern w:val="0"/>
          <w:sz w:val="24"/>
          <w:szCs w:val="24"/>
          <w:lang w:val="en-US" w:eastAsia="zh-CN"/>
        </w:rPr>
        <w:t>（一）</w:t>
      </w:r>
      <w:r>
        <w:rPr>
          <w:rFonts w:hint="eastAsia"/>
          <w:b w:val="0"/>
          <w:bCs/>
          <w:color w:val="auto"/>
          <w:kern w:val="0"/>
          <w:sz w:val="24"/>
          <w:szCs w:val="24"/>
        </w:rPr>
        <w:t>计提减值准备</w:t>
      </w:r>
      <w:r>
        <w:rPr>
          <w:rFonts w:hint="eastAsia"/>
          <w:b w:val="0"/>
          <w:bCs/>
          <w:color w:val="auto"/>
          <w:kern w:val="0"/>
          <w:sz w:val="24"/>
          <w:szCs w:val="24"/>
          <w:lang w:val="en-US" w:eastAsia="zh-CN"/>
        </w:rPr>
        <w:t>的原因</w:t>
      </w:r>
    </w:p>
    <w:p>
      <w:pPr>
        <w:spacing w:line="360" w:lineRule="auto"/>
        <w:ind w:firstLine="480" w:firstLineChars="200"/>
        <w:rPr>
          <w:rFonts w:hint="eastAsia"/>
          <w:bCs/>
          <w:color w:val="auto"/>
          <w:kern w:val="0"/>
          <w:sz w:val="24"/>
          <w:szCs w:val="24"/>
        </w:rPr>
      </w:pPr>
      <w:r>
        <w:rPr>
          <w:rFonts w:hint="eastAsia"/>
          <w:bCs/>
          <w:color w:val="auto"/>
          <w:kern w:val="0"/>
          <w:sz w:val="24"/>
          <w:szCs w:val="24"/>
        </w:rPr>
        <w:t>为更加真实、准确反映公司截至2023年12月31日的财务状况、资产价值情况，根据《企业会计准则》《深圳证券交易所股票上市规则》《会计监管风险提示第8号-商誉减值》以及公司会计政策、会计估计的相关规定，公司对2023年末应收账款、其他应收款、长期应收款、存货、固定资产、无形资产以及商誉等各类资产进行了减值测试，对各类应收款项回收的可能性、存货的可变现净值、固定资产、无形资产以及商誉的可收回金额等进行了充分的评估和分析，拟对部分资产计提减值准备。</w:t>
      </w:r>
    </w:p>
    <w:p>
      <w:pPr>
        <w:spacing w:line="360" w:lineRule="auto"/>
        <w:ind w:firstLine="480" w:firstLineChars="200"/>
        <w:rPr>
          <w:rFonts w:hint="eastAsia"/>
          <w:bCs/>
          <w:color w:val="auto"/>
          <w:kern w:val="0"/>
          <w:sz w:val="24"/>
          <w:szCs w:val="24"/>
          <w:lang w:val="en-US" w:eastAsia="zh-CN"/>
        </w:rPr>
      </w:pPr>
      <w:r>
        <w:rPr>
          <w:rFonts w:hint="eastAsia"/>
          <w:bCs/>
          <w:color w:val="auto"/>
          <w:kern w:val="0"/>
          <w:sz w:val="24"/>
          <w:szCs w:val="24"/>
          <w:lang w:val="en-US" w:eastAsia="zh-CN"/>
        </w:rPr>
        <w:t>（二）本次计提减值损失的范围、总金额和拟计入的报告期间</w:t>
      </w:r>
    </w:p>
    <w:p>
      <w:pPr>
        <w:spacing w:line="360" w:lineRule="auto"/>
        <w:ind w:firstLine="480" w:firstLineChars="200"/>
        <w:rPr>
          <w:rFonts w:hint="eastAsia"/>
          <w:bCs/>
          <w:color w:val="auto"/>
          <w:kern w:val="0"/>
          <w:sz w:val="24"/>
          <w:szCs w:val="24"/>
          <w:lang w:val="en-US" w:eastAsia="zh-CN"/>
        </w:rPr>
      </w:pPr>
      <w:r>
        <w:rPr>
          <w:rFonts w:hint="eastAsia"/>
          <w:bCs/>
          <w:color w:val="auto"/>
          <w:kern w:val="0"/>
          <w:sz w:val="24"/>
          <w:szCs w:val="24"/>
          <w:lang w:val="en-US" w:eastAsia="zh-CN"/>
        </w:rPr>
        <w:t>在合并报表层面，2023年1月1日至2023年12月31日期间确认的信用及资产减值损失合计为19,001.57万元，其中拟确认的信用减值损失金额为4,314.02万元，拟确认的资产减值损失金额为14,687.55万元。</w:t>
      </w:r>
    </w:p>
    <w:p>
      <w:pPr>
        <w:spacing w:line="360" w:lineRule="auto"/>
        <w:ind w:firstLine="300" w:firstLineChars="200"/>
        <w:jc w:val="right"/>
        <w:rPr>
          <w:rFonts w:hint="eastAsia"/>
          <w:bCs/>
          <w:color w:val="auto"/>
          <w:kern w:val="0"/>
          <w:sz w:val="15"/>
          <w:szCs w:val="15"/>
          <w:lang w:val="en-US" w:eastAsia="zh-CN"/>
        </w:rPr>
      </w:pPr>
      <w:r>
        <w:rPr>
          <w:rFonts w:hint="eastAsia"/>
          <w:bCs/>
          <w:color w:val="auto"/>
          <w:kern w:val="0"/>
          <w:sz w:val="15"/>
          <w:szCs w:val="15"/>
          <w:lang w:val="en-US" w:eastAsia="zh-CN"/>
        </w:rPr>
        <w:t>单位：元</w:t>
      </w:r>
    </w:p>
    <w:tbl>
      <w:tblPr>
        <w:tblStyle w:val="11"/>
        <w:tblW w:w="82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21"/>
        <w:gridCol w:w="2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2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项目</w:t>
            </w:r>
          </w:p>
        </w:tc>
        <w:tc>
          <w:tcPr>
            <w:tcW w:w="257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2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信用减值损失小计</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43,140,231.94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其中：应收账款坏账损失</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-1,165,665.69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w:t>
            </w:r>
            <w:r>
              <w:rPr>
                <w:rStyle w:val="34"/>
                <w:rFonts w:hint="default" w:ascii="Times New Roman" w:hAnsi="Times New Roman" w:eastAsia="宋体" w:cs="Times New Roman"/>
                <w:b w:val="0"/>
                <w:bCs w:val="0"/>
                <w:sz w:val="24"/>
                <w:szCs w:val="24"/>
                <w:lang w:val="en-US" w:eastAsia="zh-CN" w:bidi="ar"/>
              </w:rPr>
              <w:t>其他应收款坏账损失</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40,684,725.42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w:t>
            </w:r>
            <w:r>
              <w:rPr>
                <w:rStyle w:val="34"/>
                <w:rFonts w:hint="default" w:ascii="Times New Roman" w:hAnsi="Times New Roman" w:eastAsia="宋体" w:cs="Times New Roman"/>
                <w:b w:val="0"/>
                <w:bCs w:val="0"/>
                <w:sz w:val="24"/>
                <w:szCs w:val="24"/>
                <w:lang w:val="en-US" w:eastAsia="zh-CN" w:bidi="ar"/>
              </w:rPr>
              <w:t>一年内到期的非流动资产坏账损失</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3,871,172.21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w:t>
            </w:r>
            <w:r>
              <w:rPr>
                <w:rStyle w:val="34"/>
                <w:rFonts w:hint="default" w:ascii="Times New Roman" w:hAnsi="Times New Roman" w:eastAsia="宋体" w:cs="Times New Roman"/>
                <w:b w:val="0"/>
                <w:bCs w:val="0"/>
                <w:sz w:val="24"/>
                <w:szCs w:val="24"/>
                <w:lang w:val="en-US" w:eastAsia="zh-CN" w:bidi="ar"/>
              </w:rPr>
              <w:t>应收票据坏账损失</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2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资产减值损失小计</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146,875,497.74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其中：商誉减值损失</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50,976,013.81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w:t>
            </w:r>
            <w:r>
              <w:rPr>
                <w:rStyle w:val="34"/>
                <w:rFonts w:hint="default" w:ascii="Times New Roman" w:hAnsi="Times New Roman" w:eastAsia="宋体" w:cs="Times New Roman"/>
                <w:b w:val="0"/>
                <w:bCs w:val="0"/>
                <w:sz w:val="24"/>
                <w:szCs w:val="24"/>
                <w:lang w:val="en-US" w:eastAsia="zh-CN" w:bidi="ar"/>
              </w:rPr>
              <w:t>存货跌价损失</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76,878,898.71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w:t>
            </w:r>
            <w:r>
              <w:rPr>
                <w:rStyle w:val="34"/>
                <w:rFonts w:hint="default" w:ascii="Times New Roman" w:hAnsi="Times New Roman" w:eastAsia="宋体" w:cs="Times New Roman"/>
                <w:b w:val="0"/>
                <w:bCs w:val="0"/>
                <w:sz w:val="24"/>
                <w:szCs w:val="24"/>
                <w:lang w:val="en-US" w:eastAsia="zh-CN" w:bidi="ar"/>
              </w:rPr>
              <w:t>固定资产减值损失</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12,798,648.34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w:t>
            </w:r>
            <w:r>
              <w:rPr>
                <w:rStyle w:val="34"/>
                <w:rFonts w:hint="default" w:ascii="Times New Roman" w:hAnsi="Times New Roman" w:eastAsia="宋体" w:cs="Times New Roman"/>
                <w:b w:val="0"/>
                <w:bCs w:val="0"/>
                <w:sz w:val="24"/>
                <w:szCs w:val="24"/>
                <w:lang w:val="en-US" w:eastAsia="zh-CN" w:bidi="ar"/>
              </w:rPr>
              <w:t>合同资产减值损失</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5,882,828.59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34"/>
                <w:rFonts w:hint="default" w:ascii="Times New Roman" w:hAnsi="Times New Roman" w:eastAsia="宋体" w:cs="Times New Roman"/>
                <w:sz w:val="24"/>
                <w:szCs w:val="24"/>
                <w:lang w:val="en-US" w:eastAsia="zh-CN" w:bidi="ar"/>
              </w:rPr>
              <w:t>在建工程</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339,108.29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2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合计</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190,015,729.68</w:t>
            </w:r>
          </w:p>
        </w:tc>
      </w:tr>
    </w:tbl>
    <w:p>
      <w:pPr>
        <w:keepNext w:val="0"/>
        <w:keepLines w:val="0"/>
        <w:pageBreakBefore w:val="0"/>
        <w:widowControl w:val="0"/>
        <w:kinsoku/>
        <w:wordWrap/>
        <w:overflowPunct/>
        <w:topLinePunct w:val="0"/>
        <w:autoSpaceDE/>
        <w:autoSpaceDN/>
        <w:bidi w:val="0"/>
        <w:adjustRightInd/>
        <w:snapToGrid/>
        <w:spacing w:line="240" w:lineRule="auto"/>
        <w:ind w:firstLine="300" w:firstLineChars="200"/>
        <w:jc w:val="left"/>
        <w:textAlignment w:val="auto"/>
        <w:rPr>
          <w:rFonts w:hint="eastAsia"/>
          <w:b w:val="0"/>
          <w:bCs/>
          <w:color w:val="auto"/>
          <w:kern w:val="0"/>
          <w:sz w:val="24"/>
          <w:szCs w:val="24"/>
          <w:lang w:val="en-US" w:eastAsia="zh-CN"/>
        </w:rPr>
      </w:pPr>
      <w:r>
        <w:rPr>
          <w:rFonts w:hint="eastAsia"/>
          <w:bCs/>
          <w:color w:val="auto"/>
          <w:kern w:val="0"/>
          <w:sz w:val="15"/>
          <w:szCs w:val="15"/>
          <w:lang w:val="en-US" w:eastAsia="zh-CN"/>
        </w:rPr>
        <w:t>注：正数表示损失。</w:t>
      </w:r>
    </w:p>
    <w:p>
      <w:pPr>
        <w:spacing w:line="360" w:lineRule="auto"/>
        <w:ind w:firstLine="482" w:firstLineChars="200"/>
        <w:rPr>
          <w:rFonts w:hint="eastAsia"/>
          <w:b/>
          <w:bCs w:val="0"/>
          <w:color w:val="auto"/>
          <w:kern w:val="0"/>
          <w:sz w:val="24"/>
          <w:szCs w:val="24"/>
        </w:rPr>
      </w:pPr>
      <w:r>
        <w:rPr>
          <w:rFonts w:hint="eastAsia"/>
          <w:b/>
          <w:bCs w:val="0"/>
          <w:color w:val="auto"/>
          <w:kern w:val="0"/>
          <w:sz w:val="24"/>
          <w:szCs w:val="24"/>
          <w:lang w:val="en-US" w:eastAsia="zh-CN"/>
        </w:rPr>
        <w:t>二、</w:t>
      </w:r>
      <w:r>
        <w:rPr>
          <w:rFonts w:hint="eastAsia"/>
          <w:b/>
          <w:bCs w:val="0"/>
          <w:color w:val="auto"/>
          <w:kern w:val="0"/>
          <w:sz w:val="24"/>
          <w:szCs w:val="24"/>
        </w:rPr>
        <w:t>计提减值准备</w:t>
      </w:r>
      <w:r>
        <w:rPr>
          <w:rFonts w:hint="eastAsia"/>
          <w:b/>
          <w:bCs w:val="0"/>
          <w:color w:val="auto"/>
          <w:kern w:val="0"/>
          <w:sz w:val="24"/>
          <w:szCs w:val="24"/>
          <w:lang w:val="en-US" w:eastAsia="zh-CN"/>
        </w:rPr>
        <w:t>的</w:t>
      </w:r>
      <w:r>
        <w:rPr>
          <w:rFonts w:hint="eastAsia"/>
          <w:b/>
          <w:bCs w:val="0"/>
          <w:color w:val="auto"/>
          <w:kern w:val="0"/>
          <w:sz w:val="24"/>
          <w:szCs w:val="24"/>
        </w:rPr>
        <w:t>具体情况</w:t>
      </w:r>
    </w:p>
    <w:p>
      <w:pPr>
        <w:spacing w:line="360" w:lineRule="auto"/>
        <w:ind w:firstLine="482" w:firstLineChars="200"/>
        <w:rPr>
          <w:rFonts w:hint="eastAsia"/>
          <w:b/>
          <w:bCs/>
          <w:color w:val="auto"/>
          <w:kern w:val="0"/>
          <w:sz w:val="24"/>
          <w:szCs w:val="24"/>
        </w:rPr>
      </w:pPr>
      <w:r>
        <w:rPr>
          <w:rFonts w:hint="eastAsia"/>
          <w:b/>
          <w:bCs/>
          <w:color w:val="auto"/>
          <w:kern w:val="0"/>
          <w:sz w:val="24"/>
          <w:szCs w:val="24"/>
        </w:rPr>
        <w:t>（一）应收账款坏账准备</w:t>
      </w:r>
    </w:p>
    <w:p>
      <w:pPr>
        <w:spacing w:line="360" w:lineRule="auto"/>
        <w:ind w:firstLine="482" w:firstLineChars="200"/>
        <w:rPr>
          <w:rFonts w:hint="eastAsia"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1、应收款项坏账准备的确认标准、计提方法</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（1）应收款项的预期信用损失的确定方法及会计处理方法</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公司对于《企业会计准则第14号——收入》所规定的、不含重大融资成分（包括根据该准则不考虑不超过一年的合同中融资成分的情况）的应收款项，采用预期信用损失的简化模型，即始终按照整个存续期内预期信用损失的金额计量其损失准备。对于包含重大融资成分的应收款项，公司选择采用预期信用损失的简化模型，即始终按照整个存续期内预期信用损失的金额计量其损失准备。以上形成的损失准备的增加或转回金额，作为减值损失或利得计入当期损益。</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（2）应收款项分类及坏账准备计提方法</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公司考虑所有合理且有依据的信息，包括前瞻性信息，以单项或组合的方式对应收款项预期信用损失进行估计。</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1）按单项计提坏账准备的应收款项</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单独评估信用风险的应收款项，如：无法联系对方、对方破产清算、债务人死亡的应收款项；与对方存在争议或涉及诉讼、仲裁的应收款项；已有明显迹象表明债务人很可能无法履行还款义务的应收款项等。</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对于单独评估信用风险的应收款项，于资产负债表日单独进行减值测试，有客观证据表明其发生了减值的，根据其未来现金流量现值低于其账面价值的差额，确认减值损失，计提坏账准备。</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2）按组合计提坏账准备的应收款项</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①确定组合的依据</w:t>
      </w:r>
    </w:p>
    <w:tbl>
      <w:tblPr>
        <w:tblStyle w:val="32"/>
        <w:tblW w:w="4936" w:type="pct"/>
        <w:tblInd w:w="107"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58"/>
        <w:gridCol w:w="565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639" w:type="pct"/>
            <w:shd w:val="clear" w:color="auto" w:fill="auto"/>
            <w:noWrap w:val="0"/>
            <w:vAlign w:val="center"/>
          </w:tcPr>
          <w:p>
            <w:pPr>
              <w:pStyle w:val="31"/>
              <w:ind w:left="0"/>
              <w:jc w:val="both"/>
              <w:rPr>
                <w:rFonts w:eastAsia="宋体"/>
                <w:color w:val="auto"/>
                <w:sz w:val="18"/>
              </w:rPr>
            </w:pPr>
            <w:r>
              <w:rPr>
                <w:rFonts w:eastAsia="宋体"/>
                <w:color w:val="auto"/>
                <w:sz w:val="18"/>
              </w:rPr>
              <w:t>组合1：账龄组合</w:t>
            </w:r>
          </w:p>
        </w:tc>
        <w:tc>
          <w:tcPr>
            <w:tcW w:w="3360" w:type="pct"/>
            <w:shd w:val="clear" w:color="auto" w:fill="auto"/>
            <w:noWrap w:val="0"/>
            <w:vAlign w:val="center"/>
          </w:tcPr>
          <w:p>
            <w:pPr>
              <w:pStyle w:val="31"/>
              <w:ind w:left="0"/>
              <w:jc w:val="center"/>
              <w:rPr>
                <w:rFonts w:eastAsia="宋体"/>
                <w:color w:val="auto"/>
                <w:sz w:val="18"/>
              </w:rPr>
            </w:pPr>
            <w:r>
              <w:rPr>
                <w:rFonts w:eastAsia="宋体"/>
                <w:color w:val="auto"/>
                <w:sz w:val="18"/>
              </w:rPr>
              <w:t>以应收款项的账龄为信用风险特征划分组合。</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639" w:type="pct"/>
            <w:shd w:val="clear" w:color="auto" w:fill="auto"/>
            <w:noWrap w:val="0"/>
            <w:vAlign w:val="center"/>
          </w:tcPr>
          <w:p>
            <w:pPr>
              <w:pStyle w:val="31"/>
              <w:ind w:left="0"/>
              <w:rPr>
                <w:rFonts w:eastAsia="宋体"/>
                <w:color w:val="auto"/>
                <w:sz w:val="18"/>
              </w:rPr>
            </w:pPr>
            <w:r>
              <w:rPr>
                <w:rFonts w:eastAsia="宋体"/>
                <w:color w:val="auto"/>
                <w:sz w:val="18"/>
              </w:rPr>
              <w:t>组合2：不计提坏账准备组合</w:t>
            </w:r>
          </w:p>
        </w:tc>
        <w:tc>
          <w:tcPr>
            <w:tcW w:w="3360" w:type="pct"/>
            <w:shd w:val="clear" w:color="auto" w:fill="auto"/>
            <w:noWrap w:val="0"/>
            <w:vAlign w:val="center"/>
          </w:tcPr>
          <w:p>
            <w:pPr>
              <w:pStyle w:val="31"/>
              <w:ind w:left="0"/>
              <w:rPr>
                <w:rFonts w:eastAsia="宋体"/>
                <w:color w:val="auto"/>
                <w:sz w:val="18"/>
              </w:rPr>
            </w:pPr>
            <w:r>
              <w:rPr>
                <w:rFonts w:eastAsia="宋体"/>
                <w:color w:val="auto"/>
                <w:sz w:val="18"/>
              </w:rPr>
              <w:t>核技术应用板块：</w:t>
            </w:r>
          </w:p>
          <w:p>
            <w:pPr>
              <w:pStyle w:val="31"/>
              <w:ind w:left="0"/>
              <w:rPr>
                <w:rFonts w:eastAsia="宋体"/>
                <w:color w:val="auto"/>
                <w:sz w:val="18"/>
              </w:rPr>
            </w:pPr>
            <w:r>
              <w:rPr>
                <w:rFonts w:eastAsia="宋体"/>
                <w:color w:val="auto"/>
                <w:sz w:val="18"/>
              </w:rPr>
              <w:t>中国广核集团内部的应收款项；有确凿证据能够收回的中广核集团外部的应收款项，如应收政府补贴款、押金等。</w:t>
            </w:r>
          </w:p>
          <w:p>
            <w:pPr>
              <w:pStyle w:val="31"/>
              <w:ind w:left="0"/>
              <w:rPr>
                <w:rFonts w:eastAsia="宋体"/>
                <w:color w:val="auto"/>
                <w:sz w:val="18"/>
              </w:rPr>
            </w:pPr>
            <w:r>
              <w:rPr>
                <w:rFonts w:eastAsia="宋体"/>
                <w:color w:val="auto"/>
                <w:sz w:val="18"/>
              </w:rPr>
              <w:t>其他业务板块：</w:t>
            </w:r>
          </w:p>
          <w:p>
            <w:pPr>
              <w:pStyle w:val="31"/>
              <w:ind w:left="0"/>
              <w:rPr>
                <w:rFonts w:eastAsia="宋体"/>
                <w:color w:val="auto"/>
                <w:sz w:val="18"/>
              </w:rPr>
            </w:pPr>
            <w:r>
              <w:rPr>
                <w:rFonts w:eastAsia="宋体"/>
                <w:color w:val="auto"/>
                <w:sz w:val="18"/>
              </w:rPr>
              <w:t>对可收回的应收关联方的应收款项和根据协议未逾期、预计回收有保障的应收款项。</w:t>
            </w:r>
          </w:p>
        </w:tc>
      </w:tr>
    </w:tbl>
    <w:p>
      <w:pPr>
        <w:spacing w:line="360" w:lineRule="auto"/>
        <w:ind w:firstLine="420" w:firstLineChars="200"/>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注：核技术应用板块包括加速器及辐照加工服务、新材料；其他业务板块包括远洋运输、房地产、工程承包、进出口贸易及其他业务。</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②按组合计提坏账准备的计提方法</w:t>
      </w:r>
    </w:p>
    <w:tbl>
      <w:tblPr>
        <w:tblStyle w:val="32"/>
        <w:tblW w:w="4929" w:type="pct"/>
        <w:tblInd w:w="119"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4381"/>
        <w:gridCol w:w="40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607" w:type="pct"/>
            <w:shd w:val="clear" w:color="auto" w:fill="auto"/>
            <w:noWrap w:val="0"/>
            <w:vAlign w:val="center"/>
          </w:tcPr>
          <w:p>
            <w:pPr>
              <w:pStyle w:val="31"/>
              <w:ind w:left="0"/>
              <w:jc w:val="both"/>
              <w:rPr>
                <w:rFonts w:eastAsia="宋体"/>
                <w:color w:val="auto"/>
                <w:sz w:val="18"/>
              </w:rPr>
            </w:pPr>
            <w:r>
              <w:rPr>
                <w:rFonts w:eastAsia="宋体"/>
                <w:color w:val="auto"/>
                <w:sz w:val="18"/>
              </w:rPr>
              <w:t>组合1：账龄组合</w:t>
            </w:r>
          </w:p>
        </w:tc>
        <w:tc>
          <w:tcPr>
            <w:tcW w:w="2392" w:type="pct"/>
            <w:shd w:val="clear" w:color="auto" w:fill="auto"/>
            <w:noWrap w:val="0"/>
            <w:vAlign w:val="center"/>
          </w:tcPr>
          <w:p>
            <w:pPr>
              <w:pStyle w:val="31"/>
              <w:ind w:left="0"/>
              <w:jc w:val="both"/>
              <w:rPr>
                <w:rFonts w:eastAsia="宋体"/>
                <w:color w:val="auto"/>
                <w:sz w:val="18"/>
              </w:rPr>
            </w:pPr>
            <w:r>
              <w:rPr>
                <w:rFonts w:eastAsia="宋体"/>
                <w:color w:val="auto"/>
                <w:sz w:val="18"/>
              </w:rPr>
              <w:t>接账龄分析法计提坏账准备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607" w:type="pct"/>
            <w:shd w:val="clear" w:color="auto" w:fill="auto"/>
            <w:noWrap w:val="0"/>
            <w:vAlign w:val="center"/>
          </w:tcPr>
          <w:p>
            <w:pPr>
              <w:pStyle w:val="31"/>
              <w:ind w:left="0"/>
              <w:rPr>
                <w:rFonts w:eastAsia="宋体"/>
                <w:color w:val="auto"/>
                <w:sz w:val="18"/>
              </w:rPr>
            </w:pPr>
            <w:r>
              <w:rPr>
                <w:rFonts w:eastAsia="宋体"/>
                <w:color w:val="auto"/>
                <w:sz w:val="18"/>
              </w:rPr>
              <w:t>组合2：不计提坏账准备组合</w:t>
            </w:r>
          </w:p>
        </w:tc>
        <w:tc>
          <w:tcPr>
            <w:tcW w:w="2392" w:type="pct"/>
            <w:shd w:val="clear" w:color="auto" w:fill="auto"/>
            <w:noWrap w:val="0"/>
            <w:vAlign w:val="center"/>
          </w:tcPr>
          <w:p>
            <w:pPr>
              <w:pStyle w:val="31"/>
              <w:ind w:left="0"/>
              <w:rPr>
                <w:rFonts w:eastAsia="宋体"/>
                <w:color w:val="auto"/>
                <w:sz w:val="18"/>
              </w:rPr>
            </w:pPr>
            <w:r>
              <w:rPr>
                <w:rFonts w:eastAsia="宋体"/>
                <w:color w:val="auto"/>
                <w:sz w:val="18"/>
              </w:rPr>
              <w:t>不计提坏账准备</w:t>
            </w:r>
          </w:p>
        </w:tc>
      </w:tr>
    </w:tbl>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组合中，采用账龄分析法计提坏账准备情况如下：</w:t>
      </w:r>
    </w:p>
    <w:tbl>
      <w:tblPr>
        <w:tblStyle w:val="32"/>
        <w:tblW w:w="4922" w:type="pct"/>
        <w:tblInd w:w="13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550"/>
        <w:gridCol w:w="2420"/>
        <w:gridCol w:w="241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115" w:type="pct"/>
            <w:vMerge w:val="restar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账龄</w:t>
            </w:r>
          </w:p>
        </w:tc>
        <w:tc>
          <w:tcPr>
            <w:tcW w:w="1442"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核技术应用板块</w:t>
            </w:r>
          </w:p>
        </w:tc>
        <w:tc>
          <w:tcPr>
            <w:tcW w:w="1441"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其他业务板块</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115" w:type="pct"/>
            <w:vMerge w:val="continue"/>
            <w:shd w:val="clear" w:color="auto" w:fill="auto"/>
            <w:noWrap w:val="0"/>
            <w:vAlign w:val="center"/>
          </w:tcPr>
          <w:p>
            <w:pPr>
              <w:jc w:val="both"/>
              <w:rPr>
                <w:rFonts w:ascii="Times New Roman" w:hAnsi="Times New Roman" w:eastAsia="宋体" w:cs="Times New Roman"/>
                <w:color w:val="auto"/>
                <w:kern w:val="0"/>
                <w:sz w:val="18"/>
                <w:szCs w:val="18"/>
              </w:rPr>
            </w:pPr>
          </w:p>
        </w:tc>
        <w:tc>
          <w:tcPr>
            <w:tcW w:w="1442"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应收款项计提比例（%）</w:t>
            </w:r>
          </w:p>
        </w:tc>
        <w:tc>
          <w:tcPr>
            <w:tcW w:w="1441"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应收款项计提比例（%）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15" w:type="pct"/>
            <w:shd w:val="clear" w:color="auto" w:fill="auto"/>
            <w:noWrap w:val="0"/>
            <w:vAlign w:val="center"/>
          </w:tcPr>
          <w:p>
            <w:pPr>
              <w:jc w:val="both"/>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6个月以内</w:t>
            </w:r>
          </w:p>
        </w:tc>
        <w:tc>
          <w:tcPr>
            <w:tcW w:w="1442"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w:t>
            </w:r>
          </w:p>
        </w:tc>
        <w:tc>
          <w:tcPr>
            <w:tcW w:w="1441"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15" w:type="pct"/>
            <w:shd w:val="clear" w:color="auto" w:fill="auto"/>
            <w:noWrap w:val="0"/>
            <w:vAlign w:val="center"/>
          </w:tcPr>
          <w:p>
            <w:pPr>
              <w:jc w:val="both"/>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6个月至1年（含1年）</w:t>
            </w:r>
          </w:p>
        </w:tc>
        <w:tc>
          <w:tcPr>
            <w:tcW w:w="1442"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5</w:t>
            </w:r>
          </w:p>
        </w:tc>
        <w:tc>
          <w:tcPr>
            <w:tcW w:w="1441"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15" w:type="pct"/>
            <w:shd w:val="clear" w:color="auto" w:fill="auto"/>
            <w:noWrap w:val="0"/>
            <w:vAlign w:val="center"/>
          </w:tcPr>
          <w:p>
            <w:pPr>
              <w:jc w:val="both"/>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1-2年</w:t>
            </w:r>
          </w:p>
        </w:tc>
        <w:tc>
          <w:tcPr>
            <w:tcW w:w="1442"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10</w:t>
            </w:r>
          </w:p>
        </w:tc>
        <w:tc>
          <w:tcPr>
            <w:tcW w:w="1441"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15" w:type="pct"/>
            <w:shd w:val="clear" w:color="auto" w:fill="auto"/>
            <w:noWrap w:val="0"/>
            <w:vAlign w:val="center"/>
          </w:tcPr>
          <w:p>
            <w:pPr>
              <w:jc w:val="both"/>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2-3年</w:t>
            </w:r>
          </w:p>
        </w:tc>
        <w:tc>
          <w:tcPr>
            <w:tcW w:w="1442"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30</w:t>
            </w:r>
          </w:p>
        </w:tc>
        <w:tc>
          <w:tcPr>
            <w:tcW w:w="1441"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15" w:type="pct"/>
            <w:shd w:val="clear" w:color="auto" w:fill="auto"/>
            <w:noWrap w:val="0"/>
            <w:vAlign w:val="center"/>
          </w:tcPr>
          <w:p>
            <w:pPr>
              <w:jc w:val="both"/>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3-4年</w:t>
            </w:r>
          </w:p>
        </w:tc>
        <w:tc>
          <w:tcPr>
            <w:tcW w:w="1442"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50</w:t>
            </w:r>
          </w:p>
        </w:tc>
        <w:tc>
          <w:tcPr>
            <w:tcW w:w="1441"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15" w:type="pct"/>
            <w:shd w:val="clear" w:color="auto" w:fill="auto"/>
            <w:noWrap w:val="0"/>
            <w:vAlign w:val="center"/>
          </w:tcPr>
          <w:p>
            <w:pPr>
              <w:jc w:val="both"/>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4-5年</w:t>
            </w:r>
          </w:p>
        </w:tc>
        <w:tc>
          <w:tcPr>
            <w:tcW w:w="1442"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80</w:t>
            </w:r>
          </w:p>
        </w:tc>
        <w:tc>
          <w:tcPr>
            <w:tcW w:w="1441"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15" w:type="pct"/>
            <w:shd w:val="clear" w:color="auto" w:fill="auto"/>
            <w:noWrap w:val="0"/>
            <w:vAlign w:val="center"/>
          </w:tcPr>
          <w:p>
            <w:pPr>
              <w:jc w:val="both"/>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5年以上</w:t>
            </w:r>
          </w:p>
        </w:tc>
        <w:tc>
          <w:tcPr>
            <w:tcW w:w="1442"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100</w:t>
            </w:r>
          </w:p>
        </w:tc>
        <w:tc>
          <w:tcPr>
            <w:tcW w:w="1441" w:type="pct"/>
            <w:shd w:val="clear" w:color="auto" w:fill="auto"/>
            <w:noWrap w:val="0"/>
            <w:vAlign w:val="center"/>
          </w:tcPr>
          <w:p>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100</w:t>
            </w:r>
          </w:p>
        </w:tc>
      </w:tr>
    </w:tbl>
    <w:p>
      <w:pPr>
        <w:numPr>
          <w:ilvl w:val="0"/>
          <w:numId w:val="2"/>
        </w:numPr>
        <w:spacing w:line="360" w:lineRule="auto"/>
        <w:ind w:firstLine="482" w:firstLineChars="200"/>
        <w:rPr>
          <w:rFonts w:hint="eastAsia"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应收账款坏账准备计提情况</w:t>
      </w:r>
    </w:p>
    <w:p>
      <w:pPr>
        <w:numPr>
          <w:ilvl w:val="0"/>
          <w:numId w:val="0"/>
        </w:numPr>
        <w:spacing w:line="360" w:lineRule="auto"/>
        <w:jc w:val="right"/>
        <w:rPr>
          <w:rFonts w:hint="eastAsia" w:ascii="Times New Roman" w:hAnsi="Times New Roman" w:eastAsia="宋体" w:cs="Times New Roman"/>
          <w:b w:val="0"/>
          <w:bCs/>
          <w:color w:val="auto"/>
          <w:kern w:val="0"/>
          <w:sz w:val="15"/>
          <w:szCs w:val="15"/>
          <w:lang w:val="en-US" w:eastAsia="zh-CN"/>
        </w:rPr>
      </w:pPr>
      <w:r>
        <w:rPr>
          <w:rFonts w:hint="eastAsia" w:ascii="Times New Roman" w:hAnsi="Times New Roman" w:eastAsia="宋体" w:cs="Times New Roman"/>
          <w:b w:val="0"/>
          <w:bCs/>
          <w:color w:val="auto"/>
          <w:kern w:val="0"/>
          <w:sz w:val="15"/>
          <w:szCs w:val="15"/>
          <w:lang w:val="en-US" w:eastAsia="zh-CN"/>
        </w:rPr>
        <w:t>单位：元</w:t>
      </w:r>
    </w:p>
    <w:tbl>
      <w:tblPr>
        <w:tblStyle w:val="33"/>
        <w:tblW w:w="8390" w:type="dxa"/>
        <w:tblInd w:w="137"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1102"/>
        <w:gridCol w:w="1134"/>
        <w:gridCol w:w="1134"/>
        <w:gridCol w:w="1133"/>
        <w:gridCol w:w="1092"/>
        <w:gridCol w:w="9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1848" w:type="dxa"/>
            <w:vMerge w:val="restar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类别</w:t>
            </w:r>
          </w:p>
        </w:tc>
        <w:tc>
          <w:tcPr>
            <w:tcW w:w="1102" w:type="dxa"/>
            <w:vMerge w:val="restar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c>
          <w:tcPr>
            <w:tcW w:w="4493" w:type="dxa"/>
            <w:gridSpan w:val="4"/>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本期变动金额</w:t>
            </w:r>
          </w:p>
        </w:tc>
        <w:tc>
          <w:tcPr>
            <w:tcW w:w="947" w:type="dxa"/>
            <w:vMerge w:val="restar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1848" w:type="dxa"/>
            <w:vMerge w:val="continue"/>
            <w:shd w:val="clear" w:color="auto" w:fill="auto"/>
            <w:noWrap w:val="0"/>
            <w:vAlign w:val="center"/>
          </w:tcPr>
          <w:p>
            <w:pPr>
              <w:spacing w:line="240" w:lineRule="auto"/>
              <w:jc w:val="both"/>
              <w:rPr>
                <w:rFonts w:ascii="Times New Roman" w:hAnsi="Times New Roman" w:eastAsia="宋体" w:cs="Times New Roman"/>
                <w:color w:val="000000"/>
              </w:rPr>
            </w:pPr>
          </w:p>
        </w:tc>
        <w:tc>
          <w:tcPr>
            <w:tcW w:w="1102" w:type="dxa"/>
            <w:vMerge w:val="continue"/>
            <w:shd w:val="clear" w:color="auto" w:fill="auto"/>
            <w:noWrap w:val="0"/>
            <w:vAlign w:val="center"/>
          </w:tcPr>
          <w:p>
            <w:pPr>
              <w:spacing w:line="240" w:lineRule="auto"/>
              <w:jc w:val="both"/>
              <w:rPr>
                <w:rFonts w:ascii="Times New Roman" w:hAnsi="Times New Roman" w:eastAsia="宋体" w:cs="Times New Roman"/>
                <w:color w:val="000000"/>
              </w:rPr>
            </w:pPr>
          </w:p>
        </w:tc>
        <w:tc>
          <w:tcPr>
            <w:tcW w:w="1134" w:type="dxa"/>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计提</w:t>
            </w:r>
          </w:p>
        </w:tc>
        <w:tc>
          <w:tcPr>
            <w:tcW w:w="1134" w:type="dxa"/>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收回或转回</w:t>
            </w:r>
          </w:p>
        </w:tc>
        <w:tc>
          <w:tcPr>
            <w:tcW w:w="1133" w:type="dxa"/>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转销或核销</w:t>
            </w:r>
          </w:p>
        </w:tc>
        <w:tc>
          <w:tcPr>
            <w:tcW w:w="1092" w:type="dxa"/>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其他变动</w:t>
            </w:r>
          </w:p>
        </w:tc>
        <w:tc>
          <w:tcPr>
            <w:tcW w:w="947" w:type="dxa"/>
            <w:vMerge w:val="continue"/>
            <w:shd w:val="clear" w:color="auto" w:fill="auto"/>
            <w:noWrap w:val="0"/>
            <w:vAlign w:val="center"/>
          </w:tcPr>
          <w:p>
            <w:pPr>
              <w:spacing w:line="240" w:lineRule="auto"/>
              <w:jc w:val="both"/>
              <w:rPr>
                <w:rFonts w:ascii="Times New Roman" w:hAnsi="Times New Roman" w:eastAsia="宋体" w:cs="Times New Roman"/>
                <w:color w:val="00000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48" w:type="dxa"/>
            <w:shd w:val="clear" w:color="auto" w:fill="auto"/>
            <w:noWrap w:val="0"/>
            <w:vAlign w:val="center"/>
          </w:tcPr>
          <w:p>
            <w:pPr>
              <w:snapToGrid w:val="0"/>
              <w:spacing w:line="240" w:lineRule="auto"/>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按单项计提坏账准备</w:t>
            </w:r>
          </w:p>
        </w:tc>
        <w:tc>
          <w:tcPr>
            <w:tcW w:w="1102"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230,659,097.52</w:t>
            </w:r>
          </w:p>
        </w:tc>
        <w:tc>
          <w:tcPr>
            <w:tcW w:w="1134"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21,379,622.41</w:t>
            </w:r>
          </w:p>
        </w:tc>
        <w:tc>
          <w:tcPr>
            <w:tcW w:w="1134"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22,451,601.42</w:t>
            </w:r>
          </w:p>
        </w:tc>
        <w:tc>
          <w:tcPr>
            <w:tcW w:w="1133"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p>
        </w:tc>
        <w:tc>
          <w:tcPr>
            <w:tcW w:w="1092"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p>
        </w:tc>
        <w:tc>
          <w:tcPr>
            <w:tcW w:w="947"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229,587,118.51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48" w:type="dxa"/>
            <w:shd w:val="clear" w:color="auto" w:fill="auto"/>
            <w:noWrap w:val="0"/>
            <w:vAlign w:val="center"/>
          </w:tcPr>
          <w:p>
            <w:pPr>
              <w:snapToGrid w:val="0"/>
              <w:spacing w:line="240" w:lineRule="auto"/>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按组合计提坏账准备</w:t>
            </w:r>
          </w:p>
        </w:tc>
        <w:tc>
          <w:tcPr>
            <w:tcW w:w="1102"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32,180,606.78</w:t>
            </w:r>
          </w:p>
        </w:tc>
        <w:tc>
          <w:tcPr>
            <w:tcW w:w="1134"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71,636.02</w:t>
            </w:r>
          </w:p>
        </w:tc>
        <w:tc>
          <w:tcPr>
            <w:tcW w:w="1134"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w:t>
            </w:r>
          </w:p>
        </w:tc>
        <w:tc>
          <w:tcPr>
            <w:tcW w:w="1133"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p>
        </w:tc>
        <w:tc>
          <w:tcPr>
            <w:tcW w:w="1092"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p>
        </w:tc>
        <w:tc>
          <w:tcPr>
            <w:tcW w:w="947"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32,252,242.80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48" w:type="dxa"/>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1102"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262,839,704.30</w:t>
            </w:r>
          </w:p>
        </w:tc>
        <w:tc>
          <w:tcPr>
            <w:tcW w:w="1134" w:type="dxa"/>
            <w:shd w:val="clear" w:color="auto" w:fill="auto"/>
            <w:noWrap w:val="0"/>
            <w:vAlign w:val="top"/>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21,451,258.43</w:t>
            </w:r>
          </w:p>
        </w:tc>
        <w:tc>
          <w:tcPr>
            <w:tcW w:w="1134" w:type="dxa"/>
            <w:shd w:val="clear" w:color="auto" w:fill="auto"/>
            <w:noWrap w:val="0"/>
            <w:vAlign w:val="top"/>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22,451,601.42</w:t>
            </w:r>
          </w:p>
        </w:tc>
        <w:tc>
          <w:tcPr>
            <w:tcW w:w="1133" w:type="dxa"/>
            <w:shd w:val="clear" w:color="auto" w:fill="auto"/>
            <w:noWrap w:val="0"/>
            <w:vAlign w:val="top"/>
          </w:tcPr>
          <w:p>
            <w:pPr>
              <w:snapToGrid w:val="0"/>
              <w:spacing w:line="240" w:lineRule="auto"/>
              <w:jc w:val="right"/>
              <w:rPr>
                <w:rFonts w:ascii="Times New Roman" w:hAnsi="Times New Roman" w:eastAsia="宋体" w:cs="Times New Roman"/>
                <w:color w:val="000000"/>
                <w:sz w:val="18"/>
                <w:szCs w:val="18"/>
              </w:rPr>
            </w:pPr>
          </w:p>
        </w:tc>
        <w:tc>
          <w:tcPr>
            <w:tcW w:w="1092" w:type="dxa"/>
            <w:shd w:val="clear" w:color="auto" w:fill="auto"/>
            <w:noWrap w:val="0"/>
            <w:vAlign w:val="top"/>
          </w:tcPr>
          <w:p>
            <w:pPr>
              <w:snapToGrid w:val="0"/>
              <w:spacing w:line="240" w:lineRule="auto"/>
              <w:jc w:val="right"/>
              <w:rPr>
                <w:rFonts w:ascii="Times New Roman" w:hAnsi="Times New Roman" w:eastAsia="宋体" w:cs="Times New Roman"/>
                <w:color w:val="000000"/>
                <w:sz w:val="18"/>
                <w:szCs w:val="18"/>
              </w:rPr>
            </w:pPr>
          </w:p>
        </w:tc>
        <w:tc>
          <w:tcPr>
            <w:tcW w:w="947" w:type="dxa"/>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261,839,361.31</w:t>
            </w:r>
          </w:p>
        </w:tc>
      </w:tr>
    </w:tbl>
    <w:p>
      <w:p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（1）按单项计提坏账准备</w:t>
      </w:r>
    </w:p>
    <w:p>
      <w:p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本年坏账准备金额减少107.19万元，其中计提坏账准备的金额为2,137.96万元，因款项收回而转回的坏账准备为2,245.16万元。</w:t>
      </w:r>
    </w:p>
    <w:p>
      <w:p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本年坏账准备转回对应的应收账款主要是富通集团（嘉善）通信技术有限公司的1,833.88万元；本年新增单项计提额较大的坏账准备包括有山东妙航塑胶有限公司的390.82万元，PT.ENERGI STERILA HIGIENA的247.19万元等。</w:t>
      </w:r>
    </w:p>
    <w:p>
      <w:pPr>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（2）按信用风险特征组合计提坏账准备</w:t>
      </w:r>
    </w:p>
    <w:p>
      <w:pPr>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本年应收账款坏账准备增加7.16万元，无核销的坏账准备。</w:t>
      </w:r>
    </w:p>
    <w:p>
      <w:pPr>
        <w:spacing w:line="360" w:lineRule="auto"/>
        <w:ind w:firstLine="482" w:firstLineChars="200"/>
        <w:rPr>
          <w:b/>
          <w:bCs/>
          <w:color w:val="auto"/>
          <w:kern w:val="0"/>
          <w:sz w:val="24"/>
          <w:szCs w:val="24"/>
          <w:lang w:val="en-GB"/>
        </w:rPr>
      </w:pPr>
      <w:r>
        <w:rPr>
          <w:rFonts w:hint="eastAsia"/>
          <w:b/>
          <w:bCs/>
          <w:color w:val="auto"/>
          <w:kern w:val="0"/>
          <w:sz w:val="24"/>
          <w:szCs w:val="24"/>
          <w:lang w:val="en-GB"/>
        </w:rPr>
        <w:t>（二）</w:t>
      </w:r>
      <w:r>
        <w:rPr>
          <w:b/>
          <w:bCs/>
          <w:color w:val="auto"/>
          <w:kern w:val="0"/>
          <w:sz w:val="24"/>
          <w:szCs w:val="24"/>
          <w:lang w:val="en-GB"/>
        </w:rPr>
        <w:t>其他应收款坏账准备</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1、本期计提、转回或收回的坏账准备情况</w:t>
      </w:r>
    </w:p>
    <w:p>
      <w:pPr>
        <w:spacing w:line="360" w:lineRule="auto"/>
        <w:ind w:firstLine="300" w:firstLineChars="200"/>
        <w:jc w:val="right"/>
        <w:rPr>
          <w:rFonts w:hint="eastAsia" w:ascii="Times New Roman" w:hAnsi="Times New Roman" w:eastAsia="宋体" w:cs="Times New Roman"/>
          <w:bCs/>
          <w:color w:val="auto"/>
          <w:kern w:val="0"/>
          <w:sz w:val="15"/>
          <w:szCs w:val="15"/>
          <w:lang w:val="en-US" w:eastAsia="zh-CN"/>
        </w:rPr>
      </w:pPr>
      <w:r>
        <w:rPr>
          <w:rFonts w:hint="eastAsia" w:ascii="Times New Roman" w:hAnsi="Times New Roman" w:eastAsia="宋体" w:cs="Times New Roman"/>
          <w:bCs/>
          <w:color w:val="auto"/>
          <w:kern w:val="0"/>
          <w:sz w:val="15"/>
          <w:szCs w:val="15"/>
          <w:lang w:val="en-US" w:eastAsia="zh-CN"/>
        </w:rPr>
        <w:t>单位：元</w:t>
      </w:r>
    </w:p>
    <w:tbl>
      <w:tblPr>
        <w:tblStyle w:val="33"/>
        <w:tblW w:w="4909" w:type="pct"/>
        <w:jc w:val="right"/>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580"/>
        <w:gridCol w:w="1423"/>
        <w:gridCol w:w="1373"/>
        <w:gridCol w:w="800"/>
        <w:gridCol w:w="924"/>
        <w:gridCol w:w="894"/>
        <w:gridCol w:w="137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right"/>
        </w:trPr>
        <w:tc>
          <w:tcPr>
            <w:tcW w:w="944" w:type="pct"/>
            <w:vMerge w:val="restar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类别</w:t>
            </w:r>
          </w:p>
        </w:tc>
        <w:tc>
          <w:tcPr>
            <w:tcW w:w="850" w:type="pct"/>
            <w:vMerge w:val="restar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c>
          <w:tcPr>
            <w:tcW w:w="2384" w:type="pct"/>
            <w:gridSpan w:val="4"/>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本期变动金额</w:t>
            </w:r>
          </w:p>
        </w:tc>
        <w:tc>
          <w:tcPr>
            <w:tcW w:w="820" w:type="pct"/>
            <w:vMerge w:val="restar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right"/>
        </w:trPr>
        <w:tc>
          <w:tcPr>
            <w:tcW w:w="944" w:type="pct"/>
            <w:vMerge w:val="continue"/>
            <w:shd w:val="clear" w:color="auto" w:fill="auto"/>
            <w:noWrap w:val="0"/>
            <w:vAlign w:val="center"/>
          </w:tcPr>
          <w:p>
            <w:pPr>
              <w:snapToGrid w:val="0"/>
              <w:spacing w:line="240" w:lineRule="auto"/>
              <w:jc w:val="both"/>
              <w:rPr>
                <w:rFonts w:ascii="Times New Roman" w:hAnsi="Times New Roman" w:eastAsia="宋体" w:cs="Times New Roman"/>
                <w:color w:val="000000"/>
              </w:rPr>
            </w:pPr>
          </w:p>
        </w:tc>
        <w:tc>
          <w:tcPr>
            <w:tcW w:w="850" w:type="pct"/>
            <w:vMerge w:val="continue"/>
            <w:shd w:val="clear" w:color="auto" w:fill="auto"/>
            <w:noWrap w:val="0"/>
            <w:vAlign w:val="center"/>
          </w:tcPr>
          <w:p>
            <w:pPr>
              <w:snapToGrid w:val="0"/>
              <w:spacing w:line="240" w:lineRule="auto"/>
              <w:jc w:val="both"/>
              <w:rPr>
                <w:rFonts w:ascii="Times New Roman" w:hAnsi="Times New Roman" w:eastAsia="宋体" w:cs="Times New Roman"/>
                <w:color w:val="000000"/>
              </w:rPr>
            </w:pPr>
          </w:p>
        </w:tc>
        <w:tc>
          <w:tcPr>
            <w:tcW w:w="820" w:type="pc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计提</w:t>
            </w:r>
          </w:p>
        </w:tc>
        <w:tc>
          <w:tcPr>
            <w:tcW w:w="478" w:type="pc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收回或转回</w:t>
            </w:r>
          </w:p>
        </w:tc>
        <w:tc>
          <w:tcPr>
            <w:tcW w:w="552" w:type="pc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转销或核销</w:t>
            </w:r>
          </w:p>
        </w:tc>
        <w:tc>
          <w:tcPr>
            <w:tcW w:w="533" w:type="pc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其他变动</w:t>
            </w:r>
          </w:p>
        </w:tc>
        <w:tc>
          <w:tcPr>
            <w:tcW w:w="820" w:type="pct"/>
            <w:vMerge w:val="continue"/>
            <w:shd w:val="clear" w:color="auto" w:fill="auto"/>
            <w:noWrap w:val="0"/>
            <w:vAlign w:val="center"/>
          </w:tcPr>
          <w:p>
            <w:pPr>
              <w:snapToGrid w:val="0"/>
              <w:spacing w:line="240" w:lineRule="auto"/>
              <w:jc w:val="both"/>
              <w:rPr>
                <w:rFonts w:ascii="Times New Roman" w:hAnsi="Times New Roman" w:eastAsia="宋体" w:cs="Times New Roman"/>
                <w:color w:val="00000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right"/>
        </w:trPr>
        <w:tc>
          <w:tcPr>
            <w:tcW w:w="944" w:type="pct"/>
            <w:shd w:val="clear" w:color="auto" w:fill="auto"/>
            <w:noWrap w:val="0"/>
            <w:vAlign w:val="center"/>
          </w:tcPr>
          <w:p>
            <w:pPr>
              <w:snapToGrid w:val="0"/>
              <w:spacing w:line="240" w:lineRule="auto"/>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按单项计提坏账准备</w:t>
            </w:r>
          </w:p>
        </w:tc>
        <w:tc>
          <w:tcPr>
            <w:tcW w:w="850"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117,028,770.79</w:t>
            </w:r>
          </w:p>
        </w:tc>
        <w:tc>
          <w:tcPr>
            <w:tcW w:w="820"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472,288,759.09</w:t>
            </w:r>
          </w:p>
        </w:tc>
        <w:tc>
          <w:tcPr>
            <w:tcW w:w="478"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552"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533"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820"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589,317,529.88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right"/>
        </w:trPr>
        <w:tc>
          <w:tcPr>
            <w:tcW w:w="944" w:type="pct"/>
            <w:shd w:val="clear" w:color="auto" w:fill="auto"/>
            <w:noWrap w:val="0"/>
            <w:vAlign w:val="center"/>
          </w:tcPr>
          <w:p>
            <w:pPr>
              <w:snapToGrid w:val="0"/>
              <w:spacing w:line="240" w:lineRule="auto"/>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按组合计提坏账准备</w:t>
            </w:r>
          </w:p>
        </w:tc>
        <w:tc>
          <w:tcPr>
            <w:tcW w:w="850"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5,556,578.07</w:t>
            </w:r>
          </w:p>
        </w:tc>
        <w:tc>
          <w:tcPr>
            <w:tcW w:w="820"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-3,053,493.70</w:t>
            </w:r>
          </w:p>
        </w:tc>
        <w:tc>
          <w:tcPr>
            <w:tcW w:w="478"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552"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533"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820"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2,503,084.37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right"/>
        </w:trPr>
        <w:tc>
          <w:tcPr>
            <w:tcW w:w="944" w:type="pct"/>
            <w:shd w:val="clear" w:color="auto" w:fill="auto"/>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850"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122,585,348.86</w:t>
            </w:r>
          </w:p>
        </w:tc>
        <w:tc>
          <w:tcPr>
            <w:tcW w:w="820"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469,235,265.39</w:t>
            </w:r>
          </w:p>
        </w:tc>
        <w:tc>
          <w:tcPr>
            <w:tcW w:w="478"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552"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533"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w:t>
            </w:r>
          </w:p>
        </w:tc>
        <w:tc>
          <w:tcPr>
            <w:tcW w:w="820" w:type="pct"/>
            <w:shd w:val="clear" w:color="auto" w:fill="auto"/>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591,820,614.25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（1）按单项计提坏账准备情况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本年坏账准备增加47,228.87万元，其中计入本年信用减值损失的坏账准备增加4,373.82万元，前期计提的坏账准备和本期计提信用减值损失结转投资损失增加42,855.05万元</w:t>
      </w:r>
      <w:r>
        <w:rPr>
          <w:rFonts w:hint="eastAsia"/>
          <w:bCs/>
          <w:color w:val="auto"/>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单项计提的坏账准备主要说明如下：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color w:val="auto"/>
          <w:kern w:val="0"/>
          <w:sz w:val="24"/>
          <w:szCs w:val="24"/>
          <w:lang w:val="en-US" w:eastAsia="zh-CN"/>
        </w:rPr>
      </w:pPr>
      <w:r>
        <w:rPr>
          <w:rFonts w:hint="default" w:ascii="Calibri" w:hAnsi="Calibri" w:eastAsia="宋体" w:cs="Calibri"/>
          <w:bCs/>
          <w:color w:val="auto"/>
          <w:kern w:val="0"/>
          <w:sz w:val="24"/>
          <w:szCs w:val="24"/>
          <w:lang w:val="en-US" w:eastAsia="zh-CN"/>
        </w:rPr>
        <w:t>①</w:t>
      </w:r>
      <w:r>
        <w:rPr>
          <w:rFonts w:hint="eastAsia" w:ascii="Times New Roman" w:hAnsi="Times New Roman" w:eastAsia="宋体" w:cs="Times New Roman"/>
          <w:bCs/>
          <w:color w:val="auto"/>
          <w:kern w:val="0"/>
          <w:sz w:val="24"/>
          <w:szCs w:val="24"/>
          <w:lang w:val="en-US" w:eastAsia="zh-CN"/>
        </w:rPr>
        <w:t>本年</w:t>
      </w:r>
      <w:r>
        <w:rPr>
          <w:rFonts w:hint="eastAsia" w:cs="Times New Roman"/>
          <w:bCs/>
          <w:color w:val="auto"/>
          <w:kern w:val="0"/>
          <w:sz w:val="24"/>
          <w:szCs w:val="24"/>
          <w:lang w:val="en-US" w:eastAsia="zh-CN"/>
        </w:rPr>
        <w:t>分别</w:t>
      </w:r>
      <w:r>
        <w:rPr>
          <w:rFonts w:hint="eastAsia" w:ascii="Times New Roman" w:hAnsi="Times New Roman" w:eastAsia="宋体" w:cs="Times New Roman"/>
          <w:bCs/>
          <w:color w:val="auto"/>
          <w:kern w:val="0"/>
          <w:sz w:val="24"/>
          <w:szCs w:val="24"/>
          <w:lang w:val="en-US" w:eastAsia="zh-CN"/>
        </w:rPr>
        <w:t>计提应收大连高迈实业有限公司</w:t>
      </w:r>
      <w:r>
        <w:rPr>
          <w:rFonts w:hint="eastAsia" w:cs="Times New Roman"/>
          <w:bCs/>
          <w:color w:val="auto"/>
          <w:kern w:val="0"/>
          <w:sz w:val="24"/>
          <w:szCs w:val="24"/>
          <w:lang w:val="en-US" w:eastAsia="zh-CN"/>
        </w:rPr>
        <w:t>、</w:t>
      </w:r>
      <w:r>
        <w:rPr>
          <w:rFonts w:hint="eastAsia" w:ascii="Times New Roman" w:hAnsi="Times New Roman" w:eastAsia="宋体" w:cs="Times New Roman"/>
          <w:bCs/>
          <w:color w:val="auto"/>
          <w:kern w:val="0"/>
          <w:sz w:val="24"/>
          <w:szCs w:val="24"/>
          <w:lang w:val="en-US" w:eastAsia="zh-CN"/>
        </w:rPr>
        <w:t>大连瑞宝源牧业有限公司款项坏账准备2,968.34万元</w:t>
      </w:r>
      <w:r>
        <w:rPr>
          <w:rFonts w:hint="eastAsia"/>
          <w:bCs/>
          <w:kern w:val="0"/>
          <w:sz w:val="24"/>
          <w:szCs w:val="24"/>
          <w:lang w:val="en-US" w:eastAsia="zh-CN"/>
        </w:rPr>
        <w:t xml:space="preserve">及 </w:t>
      </w:r>
      <w:r>
        <w:rPr>
          <w:rFonts w:hint="eastAsia" w:ascii="Times New Roman" w:hAnsi="Times New Roman" w:eastAsia="宋体" w:cs="Times New Roman"/>
          <w:bCs/>
          <w:color w:val="auto"/>
          <w:kern w:val="0"/>
          <w:sz w:val="24"/>
          <w:szCs w:val="24"/>
          <w:lang w:val="en-US" w:eastAsia="zh-CN"/>
        </w:rPr>
        <w:t>620.42万元。主要是因为上述两家公司</w:t>
      </w:r>
      <w:r>
        <w:rPr>
          <w:rFonts w:hint="eastAsia"/>
          <w:bCs/>
          <w:kern w:val="0"/>
          <w:sz w:val="24"/>
          <w:szCs w:val="24"/>
          <w:lang w:val="en-US" w:eastAsia="zh-CN"/>
        </w:rPr>
        <w:t>财务状况恶化</w:t>
      </w:r>
      <w:r>
        <w:rPr>
          <w:rFonts w:hint="eastAsia" w:ascii="Times New Roman" w:hAnsi="Times New Roman" w:eastAsia="宋体" w:cs="Times New Roman"/>
          <w:bCs/>
          <w:color w:val="auto"/>
          <w:kern w:val="0"/>
          <w:sz w:val="24"/>
          <w:szCs w:val="24"/>
          <w:lang w:val="en-US" w:eastAsia="zh-CN"/>
        </w:rPr>
        <w:t>，应收款项回收具有不确定性。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Cs/>
          <w:color w:val="auto"/>
          <w:kern w:val="0"/>
          <w:sz w:val="24"/>
          <w:szCs w:val="24"/>
          <w:lang w:val="en-US" w:eastAsia="zh-CN"/>
        </w:rPr>
      </w:pPr>
      <w:r>
        <w:rPr>
          <w:rFonts w:hint="default" w:ascii="Calibri" w:hAnsi="Calibri" w:eastAsia="微软雅黑" w:cs="Calibri"/>
          <w:bCs/>
          <w:color w:val="auto"/>
          <w:kern w:val="0"/>
          <w:sz w:val="24"/>
          <w:szCs w:val="24"/>
          <w:lang w:val="en-US" w:eastAsia="zh-CN"/>
        </w:rPr>
        <w:t>②</w:t>
      </w:r>
      <w:r>
        <w:rPr>
          <w:rFonts w:hint="eastAsia" w:ascii="Times New Roman" w:hAnsi="Times New Roman" w:eastAsia="宋体" w:cs="Times New Roman"/>
          <w:bCs/>
          <w:color w:val="auto"/>
          <w:kern w:val="0"/>
          <w:sz w:val="24"/>
          <w:szCs w:val="24"/>
          <w:lang w:val="en-US" w:eastAsia="zh-CN"/>
        </w:rPr>
        <w:t>大连国合汇邦房地产投资管理有限公司（含子公司）计提22,690.74万元、大连五洲成大建设发展有限公司（含子公司）计提19,914.44万元。上述公司不具备可持续经营能力，公司已向法院申请破产，法院已受理并指定破产管理人对相关资产进行破产清算，因此公司对上述公司不再纳入合并范围内。经破产管理人对可变现资产进行测算评估，公司对大连国合汇邦房地产投资管理有限公司的债权22,690.74万元，可收回的价值为0.00万元，需减值22,690.74万元；对大连五洲成大建设发展有限公司的债权22,799.28万元，可收回的价值2,884.84万元，需减值19,914.44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0"/>
          <w:sz w:val="24"/>
          <w:szCs w:val="24"/>
          <w:lang w:val="en-US" w:eastAsia="zh-CN"/>
        </w:rPr>
      </w:pPr>
      <w:r>
        <w:rPr>
          <w:rFonts w:hint="default" w:ascii="Times New Roman" w:hAnsi="Times New Roman" w:eastAsia="宋体" w:cs="Times New Roman"/>
          <w:bCs/>
          <w:color w:val="auto"/>
          <w:kern w:val="0"/>
          <w:sz w:val="24"/>
          <w:szCs w:val="24"/>
          <w:lang w:val="en-US" w:eastAsia="zh-CN"/>
        </w:rPr>
        <w:t>上市公司母公司对大连国合汇邦房地产投资管理有限公司（含子公司）及大连五洲成大建设发展有限公司（含子公司）计提的坏账准备42,605.18万元（报告期内计提28,956.44万元，以前年度累计计提13,648.74万元）转入报告期合并报表的投资收益（损失）；同时上</w:t>
      </w:r>
      <w:bookmarkStart w:id="0" w:name="_GoBack"/>
      <w:bookmarkEnd w:id="0"/>
      <w:r>
        <w:rPr>
          <w:rFonts w:hint="default" w:ascii="Times New Roman" w:hAnsi="Times New Roman" w:eastAsia="宋体" w:cs="Times New Roman"/>
          <w:bCs/>
          <w:color w:val="auto"/>
          <w:kern w:val="0"/>
          <w:sz w:val="24"/>
          <w:szCs w:val="24"/>
          <w:lang w:val="en-US" w:eastAsia="zh-CN"/>
        </w:rPr>
        <w:t>述公司出表时因净资产为负产生的处置收益</w:t>
      </w:r>
      <w:r>
        <w:rPr>
          <w:rFonts w:hint="eastAsia" w:ascii="Times New Roman" w:hAnsi="Times New Roman" w:eastAsia="宋体" w:cs="Times New Roman"/>
          <w:bCs/>
          <w:color w:val="auto"/>
          <w:kern w:val="0"/>
          <w:sz w:val="24"/>
          <w:szCs w:val="24"/>
          <w:lang w:val="en-US" w:eastAsia="zh-CN"/>
        </w:rPr>
        <w:t>为</w:t>
      </w:r>
      <w:r>
        <w:rPr>
          <w:rFonts w:hint="default" w:ascii="Times New Roman" w:hAnsi="Times New Roman" w:eastAsia="宋体" w:cs="Times New Roman"/>
          <w:bCs/>
          <w:color w:val="auto"/>
          <w:kern w:val="0"/>
          <w:sz w:val="24"/>
          <w:szCs w:val="24"/>
          <w:lang w:val="en-US" w:eastAsia="zh-CN"/>
        </w:rPr>
        <w:t>24,539.32万元，因此上述公司出表对合并报表净利润整体影响为-18,065.86万元。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（2）按组合计提坏账准备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本年坏账准备减少305.35万元，无核销的坏账准备。</w:t>
      </w:r>
    </w:p>
    <w:p>
      <w:pPr>
        <w:spacing w:line="360" w:lineRule="auto"/>
        <w:ind w:firstLine="482" w:firstLineChars="200"/>
        <w:rPr>
          <w:rFonts w:hint="eastAsia"/>
          <w:b/>
          <w:bCs/>
          <w:color w:val="auto"/>
          <w:kern w:val="0"/>
          <w:sz w:val="24"/>
          <w:szCs w:val="24"/>
          <w:lang w:val="en-GB"/>
        </w:rPr>
      </w:pPr>
      <w:r>
        <w:rPr>
          <w:rFonts w:hint="eastAsia"/>
          <w:b/>
          <w:bCs/>
          <w:color w:val="auto"/>
          <w:kern w:val="0"/>
          <w:sz w:val="24"/>
          <w:szCs w:val="24"/>
          <w:lang w:val="en-GB"/>
        </w:rPr>
        <w:t>（三）一年内到期的非流动资产坏账损失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坏账准备增加387.11万元。公司长期应收款主要是业务分期收款销售商品，其中加速器板块业务产生分期收款主要是为开拓市场一般与客户签订较期限长的合同，产生应收款回款期相应延长导致，部分款项未来一年内到期，该部分长期应收款重分类至一年内到期的非流动资产，相应计提的坏账准备计入一年内到期的非流动资产坏账损失。</w:t>
      </w:r>
    </w:p>
    <w:p>
      <w:pPr>
        <w:spacing w:line="360" w:lineRule="auto"/>
        <w:ind w:firstLine="482" w:firstLineChars="200"/>
        <w:rPr>
          <w:rFonts w:hint="eastAsia"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（四）应收票据坏账损失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本年转回应收票据坏账准备25万元。</w:t>
      </w:r>
    </w:p>
    <w:p>
      <w:pPr>
        <w:spacing w:line="360" w:lineRule="auto"/>
        <w:ind w:firstLine="482" w:firstLineChars="200"/>
        <w:rPr>
          <w:rFonts w:hint="default"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（五）商誉减值损失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本年商誉减值准备增加5,097.6万元。具体明细如下：</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中广核达胜加速器技术有限公司苏州分公司本年计提商誉减值准备金额1,618.69万元。主要原因是市场同质化竞争加剧，订单有所流失，辐照业务营收及利润不及预期。</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上海金凯电子辐照有限公司本年计提商誉减值准备金额为312.35万元。主要原因是市场同质化竞争加剧，毛利率下滑，辐照业务营收及利润不及预期。</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中广核新奇特（扬州）电气有限公司本年计提商誉减值金额为1,630.40万元。主要原因是云母带行业大量外销转内销，行业价格竞争激烈，产品毛利率下滑。</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中广核俊尔新材料有限公司本年计提商誉减值准备金额为360.86万元。主要原因是原材料成本受能源政策影响上涨，市场竞争剧烈，公司整体业绩不及预期。</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河北中联银杉新材料有限公司本年计提商誉减值准备金额为201.79万元。主要原因是拉挤板材项目市场产能过剩，价格竞争激烈，同时因“限塑令”和“禁塑令”执行进度较慢降解材料市场需求</w:t>
      </w:r>
      <w:r>
        <w:rPr>
          <w:rFonts w:hint="eastAsia" w:cs="Times New Roman"/>
          <w:bCs/>
          <w:color w:val="auto"/>
          <w:kern w:val="0"/>
          <w:sz w:val="24"/>
          <w:szCs w:val="24"/>
          <w:lang w:val="en-US" w:eastAsia="zh-CN"/>
        </w:rPr>
        <w:t>不足</w:t>
      </w:r>
      <w:r>
        <w:rPr>
          <w:rFonts w:hint="eastAsia" w:ascii="Times New Roman" w:hAnsi="Times New Roman" w:eastAsia="宋体" w:cs="Times New Roman"/>
          <w:bCs/>
          <w:color w:val="auto"/>
          <w:kern w:val="0"/>
          <w:sz w:val="24"/>
          <w:szCs w:val="24"/>
          <w:lang w:val="en-US" w:eastAsia="zh-CN"/>
        </w:rPr>
        <w:t>，存量业务营收和利润也未达预期。</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中广核博繁新材料（南通）有限公司本年计提商誉减值准备金额为557.53万元。主要原因是EPP塑料同业竞争日益加大，毛利率下滑，新产品也未形成批量生产，故导致2023年整体盈利水平低下。</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中广核达胜科技有限公司本年计提商誉减值准备金额为415.98万元。主要原因是环保业务仍处于市场开拓期，增量项目签约、进度不及预期，产品营收和毛利率存在下降的风险。</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（六）存货跌价损失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本年存货跌价准备增加1,976.96万元，其中</w:t>
      </w:r>
      <w:r>
        <w:rPr>
          <w:rFonts w:hint="eastAsia" w:ascii="宋体" w:hAnsi="宋体" w:eastAsia="宋体" w:cs="宋体"/>
          <w:bCs/>
          <w:color w:val="auto"/>
          <w:kern w:val="0"/>
          <w:sz w:val="24"/>
          <w:szCs w:val="24"/>
          <w:lang w:val="en-US" w:eastAsia="zh-CN"/>
        </w:rPr>
        <w:t>因存货成本高于其可变现净值计提存货跌价准备而</w:t>
      </w:r>
      <w:r>
        <w:rPr>
          <w:rFonts w:hint="eastAsia" w:ascii="Times New Roman" w:hAnsi="Times New Roman" w:eastAsia="宋体" w:cs="Times New Roman"/>
          <w:bCs/>
          <w:color w:val="auto"/>
          <w:kern w:val="0"/>
          <w:sz w:val="24"/>
          <w:szCs w:val="24"/>
          <w:lang w:val="en-US" w:eastAsia="zh-CN"/>
        </w:rPr>
        <w:t>计入减值损失的为7,687.89万元</w:t>
      </w:r>
      <w:r>
        <w:rPr>
          <w:rFonts w:hint="eastAsia" w:cs="Times New Roman"/>
          <w:bCs/>
          <w:color w:val="auto"/>
          <w:kern w:val="0"/>
          <w:sz w:val="24"/>
          <w:szCs w:val="24"/>
          <w:lang w:val="en-US" w:eastAsia="zh-CN"/>
        </w:rPr>
        <w:t>，主要是下属子公司大连五洲成大建设发展有限公司房地产开发项目计提减值准备4,203.62万元；</w:t>
      </w:r>
      <w:r>
        <w:rPr>
          <w:rFonts w:hint="eastAsia" w:ascii="Times New Roman" w:hAnsi="Times New Roman" w:eastAsia="宋体" w:cs="Times New Roman"/>
          <w:bCs/>
          <w:color w:val="auto"/>
          <w:kern w:val="0"/>
          <w:sz w:val="24"/>
          <w:szCs w:val="24"/>
          <w:lang w:val="en-US" w:eastAsia="zh-CN"/>
        </w:rPr>
        <w:t>转销为565.28万元</w:t>
      </w:r>
      <w:r>
        <w:rPr>
          <w:rFonts w:hint="eastAsia" w:cs="Times New Roman"/>
          <w:bCs/>
          <w:color w:val="auto"/>
          <w:kern w:val="0"/>
          <w:sz w:val="24"/>
          <w:szCs w:val="24"/>
          <w:lang w:val="en-US" w:eastAsia="zh-CN"/>
        </w:rPr>
        <w:t>；</w:t>
      </w:r>
      <w:r>
        <w:rPr>
          <w:rFonts w:hint="eastAsia" w:ascii="Times New Roman" w:hAnsi="Times New Roman" w:eastAsia="宋体" w:cs="Times New Roman"/>
          <w:bCs/>
          <w:color w:val="auto"/>
          <w:kern w:val="0"/>
          <w:sz w:val="24"/>
          <w:szCs w:val="24"/>
          <w:lang w:val="en-US" w:eastAsia="zh-CN"/>
        </w:rPr>
        <w:t>子公司</w:t>
      </w:r>
      <w:r>
        <w:rPr>
          <w:rFonts w:hint="eastAsia" w:cs="Times New Roman"/>
          <w:bCs/>
          <w:color w:val="auto"/>
          <w:kern w:val="0"/>
          <w:sz w:val="24"/>
          <w:szCs w:val="24"/>
          <w:lang w:val="en-US" w:eastAsia="zh-CN"/>
        </w:rPr>
        <w:t>大连五洲成大建设发展有限公司及大连国合汇邦房地产投资管理有限公司</w:t>
      </w:r>
      <w:r>
        <w:rPr>
          <w:rFonts w:hint="eastAsia" w:ascii="Times New Roman" w:hAnsi="Times New Roman" w:eastAsia="宋体" w:cs="Times New Roman"/>
          <w:bCs/>
          <w:color w:val="auto"/>
          <w:kern w:val="0"/>
          <w:sz w:val="24"/>
          <w:szCs w:val="24"/>
          <w:lang w:val="en-US" w:eastAsia="zh-CN"/>
        </w:rPr>
        <w:t>处置转出的减值准备为5,145.64万元。</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（七）固定资产减值损失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本年固定资产减值准备减少11,346.06万元。</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本年减少的减值准备，</w:t>
      </w:r>
      <w:r>
        <w:rPr>
          <w:rFonts w:hint="eastAsia" w:cs="Times New Roman"/>
          <w:bCs/>
          <w:color w:val="auto"/>
          <w:kern w:val="0"/>
          <w:sz w:val="24"/>
          <w:szCs w:val="24"/>
          <w:lang w:val="en-US" w:eastAsia="zh-CN"/>
        </w:rPr>
        <w:t>主要是</w:t>
      </w:r>
      <w:r>
        <w:rPr>
          <w:rFonts w:hint="eastAsia" w:ascii="Times New Roman" w:hAnsi="Times New Roman" w:eastAsia="宋体" w:cs="Times New Roman"/>
          <w:bCs/>
          <w:color w:val="auto"/>
          <w:kern w:val="0"/>
          <w:sz w:val="24"/>
          <w:szCs w:val="24"/>
          <w:lang w:val="en-US" w:eastAsia="zh-CN"/>
        </w:rPr>
        <w:t>全资子公司中广核辐照技术有限公司资产处置</w:t>
      </w:r>
      <w:r>
        <w:rPr>
          <w:rFonts w:hint="eastAsia" w:cs="Times New Roman"/>
          <w:bCs/>
          <w:color w:val="auto"/>
          <w:kern w:val="0"/>
          <w:sz w:val="24"/>
          <w:szCs w:val="24"/>
          <w:lang w:val="en-US" w:eastAsia="zh-CN"/>
        </w:rPr>
        <w:t>导致</w:t>
      </w:r>
      <w:r>
        <w:rPr>
          <w:rFonts w:hint="eastAsia" w:ascii="Times New Roman" w:hAnsi="Times New Roman" w:eastAsia="宋体" w:cs="Times New Roman"/>
          <w:bCs/>
          <w:color w:val="auto"/>
          <w:kern w:val="0"/>
          <w:sz w:val="24"/>
          <w:szCs w:val="24"/>
          <w:lang w:val="en-US" w:eastAsia="zh-CN"/>
        </w:rPr>
        <w:t>机器设备减值准备减少324.56万元，</w:t>
      </w:r>
      <w:r>
        <w:rPr>
          <w:rFonts w:hint="eastAsia" w:cs="Times New Roman"/>
          <w:bCs/>
          <w:color w:val="auto"/>
          <w:kern w:val="0"/>
          <w:sz w:val="24"/>
          <w:szCs w:val="24"/>
          <w:lang w:val="en-US" w:eastAsia="zh-CN"/>
        </w:rPr>
        <w:t>以及</w:t>
      </w:r>
      <w:r>
        <w:rPr>
          <w:rFonts w:hint="eastAsia" w:ascii="Times New Roman" w:hAnsi="Times New Roman" w:eastAsia="宋体" w:cs="Times New Roman"/>
          <w:bCs/>
          <w:color w:val="auto"/>
          <w:kern w:val="0"/>
          <w:sz w:val="24"/>
          <w:szCs w:val="24"/>
          <w:lang w:val="en-US" w:eastAsia="zh-CN"/>
        </w:rPr>
        <w:t>控股子公司大新控股有限公司旗下子公司船舶资产处置</w:t>
      </w:r>
      <w:r>
        <w:rPr>
          <w:rFonts w:hint="eastAsia" w:cs="Times New Roman"/>
          <w:bCs/>
          <w:color w:val="auto"/>
          <w:kern w:val="0"/>
          <w:sz w:val="24"/>
          <w:szCs w:val="24"/>
          <w:lang w:val="en-US" w:eastAsia="zh-CN"/>
        </w:rPr>
        <w:t>相应</w:t>
      </w:r>
      <w:r>
        <w:rPr>
          <w:rFonts w:hint="eastAsia" w:ascii="Times New Roman" w:hAnsi="Times New Roman" w:eastAsia="宋体" w:cs="Times New Roman"/>
          <w:bCs/>
          <w:color w:val="auto"/>
          <w:kern w:val="0"/>
          <w:sz w:val="24"/>
          <w:szCs w:val="24"/>
          <w:lang w:val="en-US" w:eastAsia="zh-CN"/>
        </w:rPr>
        <w:t>减值准备转出13,856.95万元</w:t>
      </w:r>
      <w:r>
        <w:rPr>
          <w:rFonts w:hint="eastAsia" w:cs="Times New Roman"/>
          <w:bCs/>
          <w:color w:val="auto"/>
          <w:kern w:val="0"/>
          <w:sz w:val="24"/>
          <w:szCs w:val="24"/>
          <w:lang w:val="en-US" w:eastAsia="zh-CN"/>
        </w:rPr>
        <w:t>，</w:t>
      </w:r>
      <w:r>
        <w:rPr>
          <w:rFonts w:hint="eastAsia" w:ascii="Times New Roman" w:hAnsi="Times New Roman" w:eastAsia="宋体" w:cs="Times New Roman"/>
          <w:bCs/>
          <w:color w:val="auto"/>
          <w:kern w:val="0"/>
          <w:sz w:val="24"/>
          <w:szCs w:val="24"/>
          <w:lang w:val="en-US" w:eastAsia="zh-CN"/>
        </w:rPr>
        <w:t>计入处置损益。</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（八）合同资产减值损失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根据新收入准则相关规定，公司将已向客户转让商品或提供服务而有权收取对价的权利（且该权利取决于时间流逝之外的其他因素）列示为合同资产，公司合同资产主要是应收客户工程款及尚未到期的质保金。</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本年减值准备增加588.28万元，主要为核环保业务部分项目已达结算条件但仍未结算的工程款增加所致。</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（九）在建工程</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本年减值准备变动额为增加33.91万元，主要是控股子公司中广核新奇特（扬州）电气有限公司电子束固化云母带项目终止影响所致。</w:t>
      </w:r>
    </w:p>
    <w:p>
      <w:pPr>
        <w:spacing w:line="360" w:lineRule="auto"/>
        <w:ind w:firstLine="482" w:firstLineChars="200"/>
        <w:rPr>
          <w:rFonts w:hint="eastAsia"/>
          <w:b/>
          <w:bCs/>
          <w:color w:val="auto"/>
          <w:kern w:val="0"/>
          <w:sz w:val="24"/>
          <w:szCs w:val="24"/>
        </w:rPr>
      </w:pPr>
      <w:r>
        <w:rPr>
          <w:rFonts w:hint="eastAsia"/>
          <w:b/>
          <w:bCs/>
          <w:color w:val="auto"/>
          <w:kern w:val="0"/>
          <w:sz w:val="24"/>
          <w:szCs w:val="24"/>
          <w:lang w:val="en-US" w:eastAsia="zh-CN"/>
        </w:rPr>
        <w:t>三</w:t>
      </w:r>
      <w:r>
        <w:rPr>
          <w:rFonts w:hint="eastAsia"/>
          <w:b/>
          <w:bCs/>
          <w:color w:val="auto"/>
          <w:kern w:val="0"/>
          <w:sz w:val="24"/>
          <w:szCs w:val="24"/>
        </w:rPr>
        <w:t>、本次计提减值准备合理性说明以及对公司的影响</w:t>
      </w:r>
    </w:p>
    <w:p>
      <w:pPr>
        <w:spacing w:line="360" w:lineRule="auto"/>
        <w:ind w:firstLine="480" w:firstLineChars="200"/>
        <w:rPr>
          <w:rFonts w:hint="default" w:eastAsia="宋体"/>
          <w:b w:val="0"/>
          <w:bCs w:val="0"/>
          <w:color w:val="auto"/>
          <w:kern w:val="0"/>
          <w:sz w:val="24"/>
          <w:szCs w:val="24"/>
          <w:lang w:val="en-US" w:eastAsia="zh-CN"/>
        </w:rPr>
      </w:pPr>
      <w:r>
        <w:rPr>
          <w:rFonts w:hint="eastAsia"/>
          <w:b w:val="0"/>
          <w:bCs w:val="0"/>
          <w:color w:val="auto"/>
          <w:kern w:val="0"/>
          <w:sz w:val="24"/>
          <w:szCs w:val="24"/>
        </w:rPr>
        <w:t>本次计提202</w:t>
      </w:r>
      <w:r>
        <w:rPr>
          <w:rFonts w:hint="eastAsia"/>
          <w:b w:val="0"/>
          <w:bCs w:val="0"/>
          <w:color w:val="auto"/>
          <w:kern w:val="0"/>
          <w:sz w:val="24"/>
          <w:szCs w:val="24"/>
          <w:lang w:val="en-US" w:eastAsia="zh-CN"/>
        </w:rPr>
        <w:t>3</w:t>
      </w:r>
      <w:r>
        <w:rPr>
          <w:rFonts w:hint="eastAsia"/>
          <w:b w:val="0"/>
          <w:bCs w:val="0"/>
          <w:color w:val="auto"/>
          <w:kern w:val="0"/>
          <w:sz w:val="24"/>
          <w:szCs w:val="24"/>
        </w:rPr>
        <w:t>年度减值准备依据《企业会计准则》及深圳证券交易所的有关规则，符合公司的实际情况，能够客观、真实、公允地反映公司的财务状况和资产价值</w:t>
      </w:r>
      <w:r>
        <w:rPr>
          <w:rFonts w:hint="eastAsia"/>
          <w:b w:val="0"/>
          <w:bCs w:val="0"/>
          <w:color w:val="auto"/>
          <w:kern w:val="0"/>
          <w:sz w:val="24"/>
          <w:szCs w:val="24"/>
          <w:lang w:val="en-US" w:eastAsia="zh-CN"/>
        </w:rPr>
        <w:t>。</w:t>
      </w:r>
    </w:p>
    <w:p>
      <w:pPr>
        <w:spacing w:line="360" w:lineRule="auto"/>
        <w:ind w:firstLine="482" w:firstLineChars="200"/>
        <w:rPr>
          <w:b/>
          <w:bCs/>
          <w:color w:val="auto"/>
          <w:kern w:val="0"/>
          <w:sz w:val="24"/>
          <w:szCs w:val="24"/>
        </w:rPr>
      </w:pPr>
      <w:r>
        <w:rPr>
          <w:rFonts w:hint="eastAsia"/>
          <w:b/>
          <w:bCs/>
          <w:color w:val="auto"/>
          <w:kern w:val="0"/>
          <w:sz w:val="24"/>
          <w:szCs w:val="24"/>
          <w:lang w:val="en-US" w:eastAsia="zh-CN"/>
        </w:rPr>
        <w:t>四</w:t>
      </w:r>
      <w:r>
        <w:rPr>
          <w:rFonts w:hint="eastAsia"/>
          <w:b/>
          <w:bCs/>
          <w:color w:val="auto"/>
          <w:kern w:val="0"/>
          <w:sz w:val="24"/>
          <w:szCs w:val="24"/>
        </w:rPr>
        <w:t>、计提的信用和资产减值损失对公司当期利润的影响</w:t>
      </w:r>
    </w:p>
    <w:p>
      <w:pPr>
        <w:spacing w:line="360" w:lineRule="auto"/>
        <w:ind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202</w:t>
      </w:r>
      <w:r>
        <w:rPr>
          <w:rFonts w:hint="default" w:ascii="Times New Roman" w:hAnsi="Times New Roman" w:eastAsia="宋体" w:cs="Times New Roman"/>
          <w:bCs/>
          <w:color w:val="auto"/>
          <w:kern w:val="0"/>
          <w:sz w:val="24"/>
          <w:szCs w:val="24"/>
          <w:lang w:val="en-US" w:eastAsia="zh-CN"/>
        </w:rPr>
        <w:t>3</w:t>
      </w:r>
      <w:r>
        <w:rPr>
          <w:rFonts w:hint="default" w:ascii="Times New Roman" w:hAnsi="Times New Roman" w:eastAsia="宋体" w:cs="Times New Roman"/>
          <w:bCs/>
          <w:color w:val="auto"/>
          <w:kern w:val="0"/>
          <w:sz w:val="24"/>
          <w:szCs w:val="24"/>
        </w:rPr>
        <w:t>年度公司</w:t>
      </w:r>
      <w:r>
        <w:rPr>
          <w:rFonts w:hint="default" w:ascii="Times New Roman" w:hAnsi="Times New Roman" w:eastAsia="宋体" w:cs="Times New Roman"/>
          <w:bCs/>
          <w:color w:val="auto"/>
          <w:kern w:val="0"/>
          <w:sz w:val="24"/>
          <w:szCs w:val="24"/>
          <w:lang w:val="en-US" w:eastAsia="zh-CN"/>
        </w:rPr>
        <w:t>合并财务报表</w:t>
      </w:r>
      <w:r>
        <w:rPr>
          <w:rFonts w:hint="default" w:ascii="Times New Roman" w:hAnsi="Times New Roman" w:eastAsia="宋体" w:cs="Times New Roman"/>
          <w:bCs/>
          <w:color w:val="auto"/>
          <w:kern w:val="0"/>
          <w:sz w:val="24"/>
          <w:szCs w:val="24"/>
        </w:rPr>
        <w:t>拟计提的信用</w:t>
      </w:r>
      <w:r>
        <w:rPr>
          <w:rFonts w:hint="eastAsia" w:cs="Times New Roman"/>
          <w:bCs/>
          <w:color w:val="auto"/>
          <w:kern w:val="0"/>
          <w:sz w:val="24"/>
          <w:szCs w:val="24"/>
          <w:lang w:val="en-US" w:eastAsia="zh-CN"/>
        </w:rPr>
        <w:t>及</w:t>
      </w:r>
      <w:r>
        <w:rPr>
          <w:rFonts w:hint="default" w:ascii="Times New Roman" w:hAnsi="Times New Roman" w:eastAsia="宋体" w:cs="Times New Roman"/>
          <w:bCs/>
          <w:color w:val="auto"/>
          <w:kern w:val="0"/>
          <w:sz w:val="24"/>
          <w:szCs w:val="24"/>
        </w:rPr>
        <w:t>资产减值损失合计为19,001.57万元，减少公司202</w:t>
      </w:r>
      <w:r>
        <w:rPr>
          <w:rFonts w:hint="default" w:ascii="Times New Roman" w:hAnsi="Times New Roman" w:eastAsia="宋体" w:cs="Times New Roman"/>
          <w:bCs/>
          <w:color w:val="auto"/>
          <w:kern w:val="0"/>
          <w:sz w:val="24"/>
          <w:szCs w:val="24"/>
          <w:lang w:val="en-US" w:eastAsia="zh-CN"/>
        </w:rPr>
        <w:t>3</w:t>
      </w:r>
      <w:r>
        <w:rPr>
          <w:rFonts w:hint="default" w:ascii="Times New Roman" w:hAnsi="Times New Roman" w:eastAsia="宋体" w:cs="Times New Roman"/>
          <w:bCs/>
          <w:color w:val="auto"/>
          <w:kern w:val="0"/>
          <w:sz w:val="24"/>
          <w:szCs w:val="24"/>
        </w:rPr>
        <w:t>年度归属于上市公司股东的净利润19,001.57万元，减少公司202</w:t>
      </w:r>
      <w:r>
        <w:rPr>
          <w:rFonts w:hint="eastAsia" w:ascii="Times New Roman" w:hAnsi="Times New Roman" w:eastAsia="宋体" w:cs="Times New Roman"/>
          <w:bCs/>
          <w:color w:val="auto"/>
          <w:kern w:val="0"/>
          <w:sz w:val="24"/>
          <w:szCs w:val="24"/>
          <w:lang w:val="en-US" w:eastAsia="zh-CN"/>
        </w:rPr>
        <w:t>3</w:t>
      </w:r>
      <w:r>
        <w:rPr>
          <w:rFonts w:hint="default" w:ascii="Times New Roman" w:hAnsi="Times New Roman" w:eastAsia="宋体" w:cs="Times New Roman"/>
          <w:bCs/>
          <w:color w:val="auto"/>
          <w:kern w:val="0"/>
          <w:sz w:val="24"/>
          <w:szCs w:val="24"/>
        </w:rPr>
        <w:t>年度归属于上市公司股东的所有者权益19,001.57万元。</w:t>
      </w:r>
    </w:p>
    <w:p>
      <w:pPr>
        <w:spacing w:line="360" w:lineRule="auto"/>
        <w:ind w:firstLine="482" w:firstLineChars="200"/>
        <w:rPr>
          <w:rFonts w:hint="eastAsia"/>
          <w:b/>
          <w:bCs/>
          <w:color w:val="auto"/>
          <w:kern w:val="0"/>
          <w:sz w:val="24"/>
          <w:szCs w:val="24"/>
        </w:rPr>
      </w:pPr>
      <w:r>
        <w:rPr>
          <w:rFonts w:hint="eastAsia"/>
          <w:b/>
          <w:bCs/>
          <w:color w:val="auto"/>
          <w:kern w:val="0"/>
          <w:sz w:val="24"/>
          <w:szCs w:val="24"/>
          <w:lang w:val="en-US" w:eastAsia="zh-CN"/>
        </w:rPr>
        <w:t>五</w:t>
      </w:r>
      <w:r>
        <w:rPr>
          <w:rFonts w:hint="eastAsia"/>
          <w:b/>
          <w:bCs/>
          <w:color w:val="auto"/>
          <w:kern w:val="0"/>
          <w:sz w:val="24"/>
          <w:szCs w:val="24"/>
        </w:rPr>
        <w:t>、董事会</w:t>
      </w:r>
      <w:r>
        <w:rPr>
          <w:rFonts w:hint="eastAsia"/>
          <w:b/>
          <w:bCs/>
          <w:color w:val="auto"/>
          <w:kern w:val="0"/>
          <w:sz w:val="24"/>
          <w:szCs w:val="24"/>
          <w:lang w:val="en-US" w:eastAsia="zh-CN"/>
        </w:rPr>
        <w:t>和审计委员会</w:t>
      </w:r>
      <w:r>
        <w:rPr>
          <w:rFonts w:hint="eastAsia"/>
          <w:b/>
          <w:bCs/>
          <w:color w:val="auto"/>
          <w:kern w:val="0"/>
          <w:sz w:val="24"/>
          <w:szCs w:val="24"/>
        </w:rPr>
        <w:t>关于计提信用减值准备和资产减值准备的合理性说明</w:t>
      </w:r>
    </w:p>
    <w:p>
      <w:pPr>
        <w:spacing w:line="360" w:lineRule="auto"/>
        <w:ind w:firstLine="480" w:firstLineChars="200"/>
        <w:rPr>
          <w:rFonts w:hint="eastAsia"/>
          <w:bCs/>
          <w:color w:val="auto"/>
          <w:kern w:val="0"/>
          <w:sz w:val="24"/>
          <w:szCs w:val="24"/>
        </w:rPr>
      </w:pPr>
      <w:r>
        <w:rPr>
          <w:rFonts w:hint="eastAsia"/>
          <w:bCs/>
          <w:color w:val="auto"/>
          <w:kern w:val="0"/>
          <w:sz w:val="24"/>
          <w:szCs w:val="24"/>
        </w:rPr>
        <w:t>经审议，董事会和审计委员会认为：依据《企业会计准则》和公司相关会计政策的规定，公司计提2023年度</w:t>
      </w:r>
      <w:r>
        <w:rPr>
          <w:rFonts w:hint="eastAsia"/>
          <w:bCs/>
          <w:color w:val="auto"/>
          <w:kern w:val="0"/>
          <w:sz w:val="24"/>
          <w:szCs w:val="24"/>
          <w:lang w:val="en-US" w:eastAsia="zh-CN"/>
        </w:rPr>
        <w:t>信用及资产</w:t>
      </w:r>
      <w:r>
        <w:rPr>
          <w:rFonts w:hint="eastAsia"/>
          <w:bCs/>
          <w:color w:val="auto"/>
          <w:kern w:val="0"/>
          <w:sz w:val="24"/>
          <w:szCs w:val="24"/>
        </w:rPr>
        <w:t>减值准备的依据充分，公允的反映了公司资产状况，使公司关于资产价值的会计信息更加真实可靠，具有合理性。</w:t>
      </w:r>
    </w:p>
    <w:p>
      <w:pPr>
        <w:spacing w:line="360" w:lineRule="auto"/>
        <w:ind w:firstLine="482" w:firstLineChars="200"/>
        <w:rPr>
          <w:rFonts w:hint="eastAsia"/>
          <w:b/>
          <w:bCs/>
          <w:color w:val="auto"/>
          <w:kern w:val="0"/>
          <w:sz w:val="24"/>
          <w:szCs w:val="24"/>
        </w:rPr>
      </w:pPr>
      <w:r>
        <w:rPr>
          <w:rFonts w:hint="eastAsia"/>
          <w:b/>
          <w:bCs/>
          <w:color w:val="auto"/>
          <w:kern w:val="0"/>
          <w:sz w:val="24"/>
          <w:szCs w:val="24"/>
          <w:lang w:val="en-US" w:eastAsia="zh-CN"/>
        </w:rPr>
        <w:t>六</w:t>
      </w:r>
      <w:r>
        <w:rPr>
          <w:rFonts w:hint="eastAsia"/>
          <w:b/>
          <w:bCs/>
          <w:color w:val="auto"/>
          <w:kern w:val="0"/>
          <w:sz w:val="24"/>
          <w:szCs w:val="24"/>
        </w:rPr>
        <w:t>、监事会审核意见</w:t>
      </w:r>
    </w:p>
    <w:p>
      <w:pPr>
        <w:snapToGrid w:val="0"/>
        <w:spacing w:line="360" w:lineRule="auto"/>
        <w:ind w:firstLine="480" w:firstLineChars="200"/>
        <w:rPr>
          <w:rFonts w:hint="eastAsia"/>
          <w:color w:val="auto"/>
          <w:sz w:val="24"/>
          <w:szCs w:val="24"/>
        </w:rPr>
      </w:pPr>
      <w:r>
        <w:rPr>
          <w:rFonts w:hint="eastAsia"/>
          <w:color w:val="auto"/>
          <w:sz w:val="24"/>
          <w:szCs w:val="24"/>
        </w:rPr>
        <w:t>经审议，监事会认为：依据《企业会计准则》和公司相关会计政策的规定，公司20</w:t>
      </w:r>
      <w:r>
        <w:rPr>
          <w:rFonts w:hint="eastAsia"/>
          <w:color w:val="auto"/>
          <w:sz w:val="24"/>
          <w:szCs w:val="24"/>
          <w:lang w:val="en-US" w:eastAsia="zh-CN"/>
        </w:rPr>
        <w:t>23</w:t>
      </w:r>
      <w:r>
        <w:rPr>
          <w:rFonts w:hint="eastAsia"/>
          <w:color w:val="auto"/>
          <w:sz w:val="24"/>
          <w:szCs w:val="24"/>
        </w:rPr>
        <w:t>年度计提减值准备依据充分，公允的反映了公司资产状况，使公司关于资产价值的会计信息更加真实可靠，具有合理性。</w:t>
      </w:r>
    </w:p>
    <w:p>
      <w:pPr>
        <w:snapToGrid w:val="0"/>
        <w:spacing w:line="360" w:lineRule="auto"/>
        <w:ind w:firstLine="480" w:firstLineChars="200"/>
        <w:rPr>
          <w:rFonts w:hint="eastAsia"/>
          <w:color w:val="auto"/>
          <w:sz w:val="24"/>
          <w:szCs w:val="24"/>
        </w:rPr>
      </w:pPr>
      <w:r>
        <w:rPr>
          <w:rFonts w:hint="eastAsia"/>
          <w:color w:val="auto"/>
          <w:sz w:val="24"/>
          <w:szCs w:val="24"/>
        </w:rPr>
        <w:t>特此公告。</w:t>
      </w:r>
    </w:p>
    <w:p>
      <w:pPr>
        <w:snapToGrid w:val="0"/>
        <w:spacing w:line="360" w:lineRule="auto"/>
        <w:ind w:firstLine="480" w:firstLineChars="200"/>
        <w:rPr>
          <w:rFonts w:hint="eastAsia"/>
          <w:color w:val="auto"/>
          <w:sz w:val="24"/>
          <w:szCs w:val="24"/>
        </w:rPr>
      </w:pPr>
    </w:p>
    <w:p>
      <w:pPr>
        <w:snapToGrid w:val="0"/>
        <w:spacing w:line="360" w:lineRule="auto"/>
        <w:ind w:firstLine="480" w:firstLineChars="200"/>
        <w:rPr>
          <w:rFonts w:hint="eastAsia"/>
          <w:color w:val="auto"/>
          <w:sz w:val="24"/>
          <w:szCs w:val="24"/>
        </w:rPr>
      </w:pPr>
    </w:p>
    <w:p>
      <w:pPr>
        <w:snapToGrid w:val="0"/>
        <w:spacing w:line="360" w:lineRule="auto"/>
        <w:ind w:firstLine="480" w:firstLineChars="200"/>
        <w:rPr>
          <w:rFonts w:hint="eastAsia"/>
          <w:color w:val="auto"/>
          <w:sz w:val="24"/>
          <w:szCs w:val="24"/>
        </w:rPr>
      </w:pPr>
    </w:p>
    <w:p>
      <w:pPr>
        <w:snapToGrid w:val="0"/>
        <w:spacing w:line="360" w:lineRule="auto"/>
        <w:ind w:firstLine="482" w:firstLineChars="200"/>
        <w:jc w:val="right"/>
        <w:rPr>
          <w:rFonts w:hint="eastAsia"/>
          <w:b/>
          <w:color w:val="auto"/>
          <w:sz w:val="24"/>
          <w:szCs w:val="24"/>
        </w:rPr>
      </w:pPr>
      <w:r>
        <w:rPr>
          <w:rFonts w:hint="eastAsia"/>
          <w:b/>
          <w:color w:val="auto"/>
          <w:sz w:val="24"/>
          <w:szCs w:val="24"/>
        </w:rPr>
        <w:t>中广核核技术发展股份有限公司</w:t>
      </w:r>
    </w:p>
    <w:p>
      <w:pPr>
        <w:snapToGrid w:val="0"/>
        <w:spacing w:line="360" w:lineRule="auto"/>
        <w:ind w:firstLine="482" w:firstLineChars="200"/>
        <w:jc w:val="right"/>
        <w:rPr>
          <w:rFonts w:hint="eastAsia"/>
          <w:b/>
          <w:color w:val="auto"/>
          <w:sz w:val="24"/>
          <w:szCs w:val="24"/>
        </w:rPr>
      </w:pPr>
      <w:r>
        <w:rPr>
          <w:rFonts w:hint="eastAsia"/>
          <w:b/>
          <w:color w:val="auto"/>
          <w:sz w:val="24"/>
          <w:szCs w:val="24"/>
        </w:rPr>
        <w:t>董事会</w:t>
      </w:r>
    </w:p>
    <w:p>
      <w:pPr>
        <w:snapToGrid w:val="0"/>
        <w:spacing w:line="360" w:lineRule="auto"/>
        <w:ind w:firstLine="482" w:firstLineChars="200"/>
        <w:jc w:val="right"/>
        <w:rPr>
          <w:rFonts w:hint="eastAsia"/>
          <w:color w:val="auto"/>
          <w:sz w:val="24"/>
          <w:szCs w:val="24"/>
        </w:rPr>
      </w:pPr>
      <w:r>
        <w:rPr>
          <w:rFonts w:hint="eastAsia"/>
          <w:b/>
          <w:color w:val="auto"/>
          <w:sz w:val="24"/>
          <w:szCs w:val="24"/>
        </w:rPr>
        <w:t>202</w:t>
      </w:r>
      <w:r>
        <w:rPr>
          <w:rFonts w:hint="eastAsia"/>
          <w:b/>
          <w:color w:val="auto"/>
          <w:sz w:val="24"/>
          <w:szCs w:val="24"/>
          <w:lang w:val="en-US" w:eastAsia="zh-CN"/>
        </w:rPr>
        <w:t>4</w:t>
      </w:r>
      <w:r>
        <w:rPr>
          <w:rFonts w:hint="eastAsia"/>
          <w:b/>
          <w:color w:val="auto"/>
          <w:sz w:val="24"/>
          <w:szCs w:val="24"/>
        </w:rPr>
        <w:t>年4月</w:t>
      </w:r>
      <w:r>
        <w:rPr>
          <w:rFonts w:hint="eastAsia"/>
          <w:b/>
          <w:color w:val="auto"/>
          <w:sz w:val="24"/>
          <w:szCs w:val="24"/>
          <w:lang w:val="en-US" w:eastAsia="zh-CN"/>
        </w:rPr>
        <w:t>27</w:t>
      </w:r>
      <w:r>
        <w:rPr>
          <w:rFonts w:hint="eastAsia"/>
          <w:b/>
          <w:color w:val="auto"/>
          <w:sz w:val="24"/>
          <w:szCs w:val="24"/>
        </w:rPr>
        <w:t>日</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abstractNum w:abstractNumId="1">
    <w:nsid w:val="453534A6"/>
    <w:multiLevelType w:val="singleLevel"/>
    <w:tmpl w:val="453534A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1B05"/>
    <w:rsid w:val="00001F37"/>
    <w:rsid w:val="00003433"/>
    <w:rsid w:val="00003F0A"/>
    <w:rsid w:val="00006238"/>
    <w:rsid w:val="0000729F"/>
    <w:rsid w:val="00013BAD"/>
    <w:rsid w:val="00013DE7"/>
    <w:rsid w:val="000147AE"/>
    <w:rsid w:val="0001622C"/>
    <w:rsid w:val="000222C4"/>
    <w:rsid w:val="00022AB4"/>
    <w:rsid w:val="00024767"/>
    <w:rsid w:val="000252E3"/>
    <w:rsid w:val="00027656"/>
    <w:rsid w:val="000314BA"/>
    <w:rsid w:val="00032084"/>
    <w:rsid w:val="00035417"/>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724A"/>
    <w:rsid w:val="000579AD"/>
    <w:rsid w:val="00062129"/>
    <w:rsid w:val="00062E11"/>
    <w:rsid w:val="00063A9B"/>
    <w:rsid w:val="00063F7F"/>
    <w:rsid w:val="000645B1"/>
    <w:rsid w:val="00064887"/>
    <w:rsid w:val="0006546C"/>
    <w:rsid w:val="00072D18"/>
    <w:rsid w:val="000804FE"/>
    <w:rsid w:val="00081090"/>
    <w:rsid w:val="00081A66"/>
    <w:rsid w:val="000822BE"/>
    <w:rsid w:val="000828BD"/>
    <w:rsid w:val="00082936"/>
    <w:rsid w:val="00086615"/>
    <w:rsid w:val="000868C9"/>
    <w:rsid w:val="00090342"/>
    <w:rsid w:val="00093C0D"/>
    <w:rsid w:val="000A68BD"/>
    <w:rsid w:val="000B0509"/>
    <w:rsid w:val="000B0888"/>
    <w:rsid w:val="000B22DD"/>
    <w:rsid w:val="000B3357"/>
    <w:rsid w:val="000B3495"/>
    <w:rsid w:val="000C3520"/>
    <w:rsid w:val="000C398E"/>
    <w:rsid w:val="000C50D1"/>
    <w:rsid w:val="000C5E04"/>
    <w:rsid w:val="000C6282"/>
    <w:rsid w:val="000C71E5"/>
    <w:rsid w:val="000C75AF"/>
    <w:rsid w:val="000D1032"/>
    <w:rsid w:val="000D2D28"/>
    <w:rsid w:val="000D3D05"/>
    <w:rsid w:val="000D57B0"/>
    <w:rsid w:val="000D6F96"/>
    <w:rsid w:val="000D7118"/>
    <w:rsid w:val="000E03B2"/>
    <w:rsid w:val="000E4970"/>
    <w:rsid w:val="000E4DC9"/>
    <w:rsid w:val="000E4FF5"/>
    <w:rsid w:val="000E54DE"/>
    <w:rsid w:val="000E6CD7"/>
    <w:rsid w:val="000F0B77"/>
    <w:rsid w:val="000F26C4"/>
    <w:rsid w:val="000F33E2"/>
    <w:rsid w:val="000F3BF3"/>
    <w:rsid w:val="000F3D49"/>
    <w:rsid w:val="000F3FEE"/>
    <w:rsid w:val="000F4132"/>
    <w:rsid w:val="000F55F2"/>
    <w:rsid w:val="000F69B3"/>
    <w:rsid w:val="000F6D10"/>
    <w:rsid w:val="000F7775"/>
    <w:rsid w:val="001008A5"/>
    <w:rsid w:val="00101550"/>
    <w:rsid w:val="00106F91"/>
    <w:rsid w:val="001077F4"/>
    <w:rsid w:val="00110C31"/>
    <w:rsid w:val="0011228F"/>
    <w:rsid w:val="00113D3C"/>
    <w:rsid w:val="00120AE3"/>
    <w:rsid w:val="00121480"/>
    <w:rsid w:val="00121797"/>
    <w:rsid w:val="00122815"/>
    <w:rsid w:val="00122928"/>
    <w:rsid w:val="00123294"/>
    <w:rsid w:val="00123D1A"/>
    <w:rsid w:val="001251EB"/>
    <w:rsid w:val="00127F6A"/>
    <w:rsid w:val="0013019C"/>
    <w:rsid w:val="00130517"/>
    <w:rsid w:val="001318C3"/>
    <w:rsid w:val="00132C15"/>
    <w:rsid w:val="001330A5"/>
    <w:rsid w:val="0013696E"/>
    <w:rsid w:val="00136AC4"/>
    <w:rsid w:val="00137A0B"/>
    <w:rsid w:val="00140B6F"/>
    <w:rsid w:val="00142DF0"/>
    <w:rsid w:val="00143646"/>
    <w:rsid w:val="00145710"/>
    <w:rsid w:val="001466E9"/>
    <w:rsid w:val="00147D93"/>
    <w:rsid w:val="00150D93"/>
    <w:rsid w:val="00152F22"/>
    <w:rsid w:val="00153693"/>
    <w:rsid w:val="00155356"/>
    <w:rsid w:val="001619BE"/>
    <w:rsid w:val="00166B28"/>
    <w:rsid w:val="0016700E"/>
    <w:rsid w:val="001672F9"/>
    <w:rsid w:val="001711B8"/>
    <w:rsid w:val="00171C64"/>
    <w:rsid w:val="001735A0"/>
    <w:rsid w:val="00174E35"/>
    <w:rsid w:val="00175408"/>
    <w:rsid w:val="001758B5"/>
    <w:rsid w:val="00175CBF"/>
    <w:rsid w:val="001779E1"/>
    <w:rsid w:val="0018038D"/>
    <w:rsid w:val="00180636"/>
    <w:rsid w:val="00182210"/>
    <w:rsid w:val="0018364A"/>
    <w:rsid w:val="001851C6"/>
    <w:rsid w:val="00186CD1"/>
    <w:rsid w:val="0019071C"/>
    <w:rsid w:val="00190AA3"/>
    <w:rsid w:val="00191724"/>
    <w:rsid w:val="0019389A"/>
    <w:rsid w:val="00193EE4"/>
    <w:rsid w:val="0019426B"/>
    <w:rsid w:val="001943AE"/>
    <w:rsid w:val="00196DD8"/>
    <w:rsid w:val="00197BE0"/>
    <w:rsid w:val="001A077E"/>
    <w:rsid w:val="001A198A"/>
    <w:rsid w:val="001A26DE"/>
    <w:rsid w:val="001A27C9"/>
    <w:rsid w:val="001A6D39"/>
    <w:rsid w:val="001A6DBB"/>
    <w:rsid w:val="001A726D"/>
    <w:rsid w:val="001A75E0"/>
    <w:rsid w:val="001B1368"/>
    <w:rsid w:val="001C1F46"/>
    <w:rsid w:val="001C52B0"/>
    <w:rsid w:val="001C591B"/>
    <w:rsid w:val="001C60BB"/>
    <w:rsid w:val="001D1554"/>
    <w:rsid w:val="001D1FD2"/>
    <w:rsid w:val="001D27C2"/>
    <w:rsid w:val="001D4F4C"/>
    <w:rsid w:val="001D7325"/>
    <w:rsid w:val="001E04CA"/>
    <w:rsid w:val="001E2F6C"/>
    <w:rsid w:val="001E504C"/>
    <w:rsid w:val="001E5811"/>
    <w:rsid w:val="001E5A48"/>
    <w:rsid w:val="001F1297"/>
    <w:rsid w:val="001F2B36"/>
    <w:rsid w:val="001F5845"/>
    <w:rsid w:val="001F6AA1"/>
    <w:rsid w:val="001F7A38"/>
    <w:rsid w:val="00200618"/>
    <w:rsid w:val="00200628"/>
    <w:rsid w:val="00203CC6"/>
    <w:rsid w:val="00203F93"/>
    <w:rsid w:val="002042D4"/>
    <w:rsid w:val="002046EF"/>
    <w:rsid w:val="00210B8B"/>
    <w:rsid w:val="0021237C"/>
    <w:rsid w:val="00213050"/>
    <w:rsid w:val="002144C1"/>
    <w:rsid w:val="0021591A"/>
    <w:rsid w:val="00217E38"/>
    <w:rsid w:val="00221786"/>
    <w:rsid w:val="002219F2"/>
    <w:rsid w:val="00222E37"/>
    <w:rsid w:val="00223FEE"/>
    <w:rsid w:val="00225612"/>
    <w:rsid w:val="00227455"/>
    <w:rsid w:val="00227D09"/>
    <w:rsid w:val="00231432"/>
    <w:rsid w:val="00232CED"/>
    <w:rsid w:val="00241B2A"/>
    <w:rsid w:val="00241C22"/>
    <w:rsid w:val="0024605D"/>
    <w:rsid w:val="00253C07"/>
    <w:rsid w:val="00253EB5"/>
    <w:rsid w:val="0025589F"/>
    <w:rsid w:val="002572B1"/>
    <w:rsid w:val="0025767F"/>
    <w:rsid w:val="0026017F"/>
    <w:rsid w:val="00261D1D"/>
    <w:rsid w:val="0026213E"/>
    <w:rsid w:val="002624D9"/>
    <w:rsid w:val="002654A6"/>
    <w:rsid w:val="00265BAC"/>
    <w:rsid w:val="00265BF8"/>
    <w:rsid w:val="00266E89"/>
    <w:rsid w:val="00267A6E"/>
    <w:rsid w:val="002710C2"/>
    <w:rsid w:val="002721D6"/>
    <w:rsid w:val="002733BF"/>
    <w:rsid w:val="00273AF5"/>
    <w:rsid w:val="00273E92"/>
    <w:rsid w:val="002815FE"/>
    <w:rsid w:val="0028160F"/>
    <w:rsid w:val="002819A7"/>
    <w:rsid w:val="00285ECD"/>
    <w:rsid w:val="00286AE0"/>
    <w:rsid w:val="00287353"/>
    <w:rsid w:val="00290C4C"/>
    <w:rsid w:val="0029131D"/>
    <w:rsid w:val="002926F5"/>
    <w:rsid w:val="00292860"/>
    <w:rsid w:val="00295EA0"/>
    <w:rsid w:val="00296EE8"/>
    <w:rsid w:val="002A4FCB"/>
    <w:rsid w:val="002A5C87"/>
    <w:rsid w:val="002B01C7"/>
    <w:rsid w:val="002B03AF"/>
    <w:rsid w:val="002B22B3"/>
    <w:rsid w:val="002B7513"/>
    <w:rsid w:val="002C4293"/>
    <w:rsid w:val="002D21A8"/>
    <w:rsid w:val="002D4942"/>
    <w:rsid w:val="002D4AB5"/>
    <w:rsid w:val="002D6A15"/>
    <w:rsid w:val="002D746D"/>
    <w:rsid w:val="002D7DFE"/>
    <w:rsid w:val="002E03A2"/>
    <w:rsid w:val="002E3DE1"/>
    <w:rsid w:val="002E6C30"/>
    <w:rsid w:val="002E6E2C"/>
    <w:rsid w:val="002E7E85"/>
    <w:rsid w:val="002E7F16"/>
    <w:rsid w:val="002F0134"/>
    <w:rsid w:val="002F15EF"/>
    <w:rsid w:val="002F6A0E"/>
    <w:rsid w:val="002F731C"/>
    <w:rsid w:val="0030260F"/>
    <w:rsid w:val="00302905"/>
    <w:rsid w:val="003035D6"/>
    <w:rsid w:val="003062F8"/>
    <w:rsid w:val="003063A6"/>
    <w:rsid w:val="003063BB"/>
    <w:rsid w:val="00310B85"/>
    <w:rsid w:val="00310EFD"/>
    <w:rsid w:val="0031131E"/>
    <w:rsid w:val="003134E1"/>
    <w:rsid w:val="00315795"/>
    <w:rsid w:val="00317F0E"/>
    <w:rsid w:val="00320ACB"/>
    <w:rsid w:val="0032419B"/>
    <w:rsid w:val="00325AA5"/>
    <w:rsid w:val="00326EE7"/>
    <w:rsid w:val="00327C50"/>
    <w:rsid w:val="003318C5"/>
    <w:rsid w:val="00331EDD"/>
    <w:rsid w:val="00332548"/>
    <w:rsid w:val="0033435E"/>
    <w:rsid w:val="00334491"/>
    <w:rsid w:val="00337925"/>
    <w:rsid w:val="003431A6"/>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C0B"/>
    <w:rsid w:val="003719EF"/>
    <w:rsid w:val="0037248B"/>
    <w:rsid w:val="00373CFD"/>
    <w:rsid w:val="0037678A"/>
    <w:rsid w:val="00381162"/>
    <w:rsid w:val="00386C81"/>
    <w:rsid w:val="003900E3"/>
    <w:rsid w:val="00392691"/>
    <w:rsid w:val="00392A36"/>
    <w:rsid w:val="0039362B"/>
    <w:rsid w:val="00395D6C"/>
    <w:rsid w:val="003964DA"/>
    <w:rsid w:val="003A292F"/>
    <w:rsid w:val="003A2989"/>
    <w:rsid w:val="003A2A74"/>
    <w:rsid w:val="003A3403"/>
    <w:rsid w:val="003A4AB1"/>
    <w:rsid w:val="003A7C90"/>
    <w:rsid w:val="003B1B62"/>
    <w:rsid w:val="003B2FBC"/>
    <w:rsid w:val="003B4BB5"/>
    <w:rsid w:val="003B546C"/>
    <w:rsid w:val="003C03F3"/>
    <w:rsid w:val="003C0743"/>
    <w:rsid w:val="003C0B6B"/>
    <w:rsid w:val="003C0CB3"/>
    <w:rsid w:val="003C2326"/>
    <w:rsid w:val="003C2CB4"/>
    <w:rsid w:val="003C2E06"/>
    <w:rsid w:val="003C3CE1"/>
    <w:rsid w:val="003C5EA8"/>
    <w:rsid w:val="003C6F4E"/>
    <w:rsid w:val="003D0362"/>
    <w:rsid w:val="003D1392"/>
    <w:rsid w:val="003D1DEA"/>
    <w:rsid w:val="003D3D95"/>
    <w:rsid w:val="003D60C8"/>
    <w:rsid w:val="003D6BA8"/>
    <w:rsid w:val="003D7072"/>
    <w:rsid w:val="003E0DBA"/>
    <w:rsid w:val="003E395E"/>
    <w:rsid w:val="003E44D7"/>
    <w:rsid w:val="003E4C69"/>
    <w:rsid w:val="003E5295"/>
    <w:rsid w:val="003E54CA"/>
    <w:rsid w:val="003E584F"/>
    <w:rsid w:val="003E7FF5"/>
    <w:rsid w:val="003F0050"/>
    <w:rsid w:val="003F0402"/>
    <w:rsid w:val="003F07F0"/>
    <w:rsid w:val="003F27DF"/>
    <w:rsid w:val="003F2969"/>
    <w:rsid w:val="003F3D44"/>
    <w:rsid w:val="003F4A59"/>
    <w:rsid w:val="003F61E2"/>
    <w:rsid w:val="003F7F2A"/>
    <w:rsid w:val="004004A6"/>
    <w:rsid w:val="0040098A"/>
    <w:rsid w:val="00400D97"/>
    <w:rsid w:val="00402ED1"/>
    <w:rsid w:val="00403BC7"/>
    <w:rsid w:val="0040407C"/>
    <w:rsid w:val="004054C4"/>
    <w:rsid w:val="00405A64"/>
    <w:rsid w:val="0040741F"/>
    <w:rsid w:val="004100A0"/>
    <w:rsid w:val="00410D4C"/>
    <w:rsid w:val="00412C83"/>
    <w:rsid w:val="00412FC6"/>
    <w:rsid w:val="00414DAF"/>
    <w:rsid w:val="00415A70"/>
    <w:rsid w:val="00416DB9"/>
    <w:rsid w:val="00417251"/>
    <w:rsid w:val="00420BD6"/>
    <w:rsid w:val="00420C33"/>
    <w:rsid w:val="00422294"/>
    <w:rsid w:val="00425D5C"/>
    <w:rsid w:val="004271E2"/>
    <w:rsid w:val="00427883"/>
    <w:rsid w:val="0043136C"/>
    <w:rsid w:val="00431A2F"/>
    <w:rsid w:val="004326D7"/>
    <w:rsid w:val="00433A97"/>
    <w:rsid w:val="004377D7"/>
    <w:rsid w:val="00445D18"/>
    <w:rsid w:val="00447146"/>
    <w:rsid w:val="0045056A"/>
    <w:rsid w:val="00451457"/>
    <w:rsid w:val="00456040"/>
    <w:rsid w:val="0045640F"/>
    <w:rsid w:val="00457B40"/>
    <w:rsid w:val="00457CA7"/>
    <w:rsid w:val="00460E7C"/>
    <w:rsid w:val="00460F8C"/>
    <w:rsid w:val="00461DEF"/>
    <w:rsid w:val="004624B3"/>
    <w:rsid w:val="00462862"/>
    <w:rsid w:val="0046429F"/>
    <w:rsid w:val="00465BF0"/>
    <w:rsid w:val="0047101A"/>
    <w:rsid w:val="00474C11"/>
    <w:rsid w:val="00477DBE"/>
    <w:rsid w:val="00481AA6"/>
    <w:rsid w:val="00482B64"/>
    <w:rsid w:val="004833D2"/>
    <w:rsid w:val="00483D7A"/>
    <w:rsid w:val="0048507C"/>
    <w:rsid w:val="00486D35"/>
    <w:rsid w:val="004879F6"/>
    <w:rsid w:val="004908EC"/>
    <w:rsid w:val="0049198B"/>
    <w:rsid w:val="00493CB0"/>
    <w:rsid w:val="00493E25"/>
    <w:rsid w:val="00493EF0"/>
    <w:rsid w:val="00494706"/>
    <w:rsid w:val="00494EE8"/>
    <w:rsid w:val="00495998"/>
    <w:rsid w:val="00496160"/>
    <w:rsid w:val="0049697C"/>
    <w:rsid w:val="00497F57"/>
    <w:rsid w:val="004A1ADC"/>
    <w:rsid w:val="004A365A"/>
    <w:rsid w:val="004B1E05"/>
    <w:rsid w:val="004B2AA2"/>
    <w:rsid w:val="004B3D7C"/>
    <w:rsid w:val="004B4988"/>
    <w:rsid w:val="004C2611"/>
    <w:rsid w:val="004C4EF5"/>
    <w:rsid w:val="004D0DF8"/>
    <w:rsid w:val="004D0F2E"/>
    <w:rsid w:val="004D1890"/>
    <w:rsid w:val="004D24CE"/>
    <w:rsid w:val="004D4403"/>
    <w:rsid w:val="004D5EE0"/>
    <w:rsid w:val="004E0EB1"/>
    <w:rsid w:val="004E1014"/>
    <w:rsid w:val="004E1819"/>
    <w:rsid w:val="004E39CC"/>
    <w:rsid w:val="004E3A40"/>
    <w:rsid w:val="004E6620"/>
    <w:rsid w:val="004E7D49"/>
    <w:rsid w:val="004E7DEE"/>
    <w:rsid w:val="004F21A4"/>
    <w:rsid w:val="004F2974"/>
    <w:rsid w:val="004F3CF8"/>
    <w:rsid w:val="004F5478"/>
    <w:rsid w:val="004F6473"/>
    <w:rsid w:val="005007E2"/>
    <w:rsid w:val="00501F06"/>
    <w:rsid w:val="00503452"/>
    <w:rsid w:val="005039FC"/>
    <w:rsid w:val="0050770E"/>
    <w:rsid w:val="005116FD"/>
    <w:rsid w:val="00516D72"/>
    <w:rsid w:val="005224F0"/>
    <w:rsid w:val="00523355"/>
    <w:rsid w:val="00523AA6"/>
    <w:rsid w:val="005242ED"/>
    <w:rsid w:val="00524753"/>
    <w:rsid w:val="0052623C"/>
    <w:rsid w:val="00527F5B"/>
    <w:rsid w:val="005303D6"/>
    <w:rsid w:val="00530F93"/>
    <w:rsid w:val="00531D5B"/>
    <w:rsid w:val="005331CF"/>
    <w:rsid w:val="0053371C"/>
    <w:rsid w:val="00537B62"/>
    <w:rsid w:val="00540445"/>
    <w:rsid w:val="00540C51"/>
    <w:rsid w:val="00542933"/>
    <w:rsid w:val="005454D5"/>
    <w:rsid w:val="00550D32"/>
    <w:rsid w:val="00553397"/>
    <w:rsid w:val="005549AD"/>
    <w:rsid w:val="005550AE"/>
    <w:rsid w:val="005552D9"/>
    <w:rsid w:val="00555C62"/>
    <w:rsid w:val="005565AC"/>
    <w:rsid w:val="00557C71"/>
    <w:rsid w:val="00566CDD"/>
    <w:rsid w:val="00566ECF"/>
    <w:rsid w:val="00570EA4"/>
    <w:rsid w:val="005777B9"/>
    <w:rsid w:val="00580136"/>
    <w:rsid w:val="00584937"/>
    <w:rsid w:val="00584BA1"/>
    <w:rsid w:val="00584DA1"/>
    <w:rsid w:val="00585497"/>
    <w:rsid w:val="005870C8"/>
    <w:rsid w:val="00587BF1"/>
    <w:rsid w:val="0059030C"/>
    <w:rsid w:val="00590CD5"/>
    <w:rsid w:val="005956B0"/>
    <w:rsid w:val="00596D32"/>
    <w:rsid w:val="005A1320"/>
    <w:rsid w:val="005A4CA8"/>
    <w:rsid w:val="005A72D8"/>
    <w:rsid w:val="005B3A52"/>
    <w:rsid w:val="005C0744"/>
    <w:rsid w:val="005C3F4D"/>
    <w:rsid w:val="005D0A19"/>
    <w:rsid w:val="005D0D8C"/>
    <w:rsid w:val="005D3F2F"/>
    <w:rsid w:val="005D7223"/>
    <w:rsid w:val="005E0C92"/>
    <w:rsid w:val="005E105C"/>
    <w:rsid w:val="005E2E05"/>
    <w:rsid w:val="005E3306"/>
    <w:rsid w:val="005E4DA6"/>
    <w:rsid w:val="005E6583"/>
    <w:rsid w:val="005F1E32"/>
    <w:rsid w:val="005F2A66"/>
    <w:rsid w:val="005F35E4"/>
    <w:rsid w:val="005F3CD7"/>
    <w:rsid w:val="005F7051"/>
    <w:rsid w:val="00605620"/>
    <w:rsid w:val="00606C39"/>
    <w:rsid w:val="0061038E"/>
    <w:rsid w:val="00611B4C"/>
    <w:rsid w:val="00613BCA"/>
    <w:rsid w:val="006159E9"/>
    <w:rsid w:val="00615CA9"/>
    <w:rsid w:val="0061686A"/>
    <w:rsid w:val="006170F1"/>
    <w:rsid w:val="00617233"/>
    <w:rsid w:val="006204BA"/>
    <w:rsid w:val="006240FE"/>
    <w:rsid w:val="00624D1A"/>
    <w:rsid w:val="00626146"/>
    <w:rsid w:val="00630AA0"/>
    <w:rsid w:val="0063150E"/>
    <w:rsid w:val="0063222D"/>
    <w:rsid w:val="00632817"/>
    <w:rsid w:val="00634D71"/>
    <w:rsid w:val="0063550F"/>
    <w:rsid w:val="00636B7E"/>
    <w:rsid w:val="00637763"/>
    <w:rsid w:val="00642525"/>
    <w:rsid w:val="00643727"/>
    <w:rsid w:val="006453E7"/>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C42"/>
    <w:rsid w:val="00680C95"/>
    <w:rsid w:val="00683E22"/>
    <w:rsid w:val="006857C3"/>
    <w:rsid w:val="0069030B"/>
    <w:rsid w:val="00691439"/>
    <w:rsid w:val="00693012"/>
    <w:rsid w:val="006934B5"/>
    <w:rsid w:val="006946BB"/>
    <w:rsid w:val="006972AD"/>
    <w:rsid w:val="00697BAD"/>
    <w:rsid w:val="006A1C6F"/>
    <w:rsid w:val="006A209E"/>
    <w:rsid w:val="006A2693"/>
    <w:rsid w:val="006A5E20"/>
    <w:rsid w:val="006B17F7"/>
    <w:rsid w:val="006B1B3C"/>
    <w:rsid w:val="006B322C"/>
    <w:rsid w:val="006B32BF"/>
    <w:rsid w:val="006B444E"/>
    <w:rsid w:val="006B768B"/>
    <w:rsid w:val="006C17F8"/>
    <w:rsid w:val="006C3121"/>
    <w:rsid w:val="006C34E7"/>
    <w:rsid w:val="006C5854"/>
    <w:rsid w:val="006C71F2"/>
    <w:rsid w:val="006D1331"/>
    <w:rsid w:val="006D24A5"/>
    <w:rsid w:val="006D39D0"/>
    <w:rsid w:val="006D4403"/>
    <w:rsid w:val="006D7A8A"/>
    <w:rsid w:val="006E093A"/>
    <w:rsid w:val="006E0DA2"/>
    <w:rsid w:val="006E22F6"/>
    <w:rsid w:val="006E2BE6"/>
    <w:rsid w:val="006E2EAB"/>
    <w:rsid w:val="006E4F70"/>
    <w:rsid w:val="006E526A"/>
    <w:rsid w:val="006E79D3"/>
    <w:rsid w:val="006F08C6"/>
    <w:rsid w:val="006F2783"/>
    <w:rsid w:val="006F2CE6"/>
    <w:rsid w:val="006F406C"/>
    <w:rsid w:val="006F4AAE"/>
    <w:rsid w:val="006F5D6A"/>
    <w:rsid w:val="006F6E1C"/>
    <w:rsid w:val="006F715E"/>
    <w:rsid w:val="00700006"/>
    <w:rsid w:val="007005CA"/>
    <w:rsid w:val="00700761"/>
    <w:rsid w:val="00702852"/>
    <w:rsid w:val="00702A98"/>
    <w:rsid w:val="00702FAD"/>
    <w:rsid w:val="00706136"/>
    <w:rsid w:val="00710426"/>
    <w:rsid w:val="00710858"/>
    <w:rsid w:val="007134A0"/>
    <w:rsid w:val="00715B3D"/>
    <w:rsid w:val="00716232"/>
    <w:rsid w:val="007162F2"/>
    <w:rsid w:val="00716C3D"/>
    <w:rsid w:val="00722AE8"/>
    <w:rsid w:val="0072305D"/>
    <w:rsid w:val="0072360C"/>
    <w:rsid w:val="00723937"/>
    <w:rsid w:val="007303CA"/>
    <w:rsid w:val="00730F53"/>
    <w:rsid w:val="0073247B"/>
    <w:rsid w:val="00733A17"/>
    <w:rsid w:val="00733D3D"/>
    <w:rsid w:val="00734E36"/>
    <w:rsid w:val="00740AB8"/>
    <w:rsid w:val="00740DAC"/>
    <w:rsid w:val="0074467B"/>
    <w:rsid w:val="00744E34"/>
    <w:rsid w:val="00745DFA"/>
    <w:rsid w:val="00747593"/>
    <w:rsid w:val="007475D7"/>
    <w:rsid w:val="00751696"/>
    <w:rsid w:val="00753911"/>
    <w:rsid w:val="00753AD4"/>
    <w:rsid w:val="007545CE"/>
    <w:rsid w:val="0075504F"/>
    <w:rsid w:val="00755596"/>
    <w:rsid w:val="007610F3"/>
    <w:rsid w:val="007627B2"/>
    <w:rsid w:val="00770B79"/>
    <w:rsid w:val="007740D4"/>
    <w:rsid w:val="00775D17"/>
    <w:rsid w:val="00777B97"/>
    <w:rsid w:val="007802AE"/>
    <w:rsid w:val="007823C8"/>
    <w:rsid w:val="007838FB"/>
    <w:rsid w:val="00784428"/>
    <w:rsid w:val="007847B7"/>
    <w:rsid w:val="007862F9"/>
    <w:rsid w:val="00786927"/>
    <w:rsid w:val="0079270C"/>
    <w:rsid w:val="0079334D"/>
    <w:rsid w:val="00793EB9"/>
    <w:rsid w:val="00797A7D"/>
    <w:rsid w:val="007A198A"/>
    <w:rsid w:val="007A2A9E"/>
    <w:rsid w:val="007A40D7"/>
    <w:rsid w:val="007A577B"/>
    <w:rsid w:val="007A62DB"/>
    <w:rsid w:val="007A6E3D"/>
    <w:rsid w:val="007A7F89"/>
    <w:rsid w:val="007B007C"/>
    <w:rsid w:val="007B088F"/>
    <w:rsid w:val="007B2111"/>
    <w:rsid w:val="007B2CA4"/>
    <w:rsid w:val="007B3B6A"/>
    <w:rsid w:val="007B69F4"/>
    <w:rsid w:val="007B7C4C"/>
    <w:rsid w:val="007C261C"/>
    <w:rsid w:val="007C3C54"/>
    <w:rsid w:val="007C74BE"/>
    <w:rsid w:val="007D02E0"/>
    <w:rsid w:val="007D53AD"/>
    <w:rsid w:val="007D5946"/>
    <w:rsid w:val="007D77E3"/>
    <w:rsid w:val="007E08FE"/>
    <w:rsid w:val="007E1D0E"/>
    <w:rsid w:val="007E2DAF"/>
    <w:rsid w:val="007E5775"/>
    <w:rsid w:val="007E652F"/>
    <w:rsid w:val="007F3469"/>
    <w:rsid w:val="007F58F0"/>
    <w:rsid w:val="00800509"/>
    <w:rsid w:val="008008A3"/>
    <w:rsid w:val="00802140"/>
    <w:rsid w:val="008021AC"/>
    <w:rsid w:val="00803C20"/>
    <w:rsid w:val="008069B6"/>
    <w:rsid w:val="00806EB4"/>
    <w:rsid w:val="00807400"/>
    <w:rsid w:val="0081143F"/>
    <w:rsid w:val="00811612"/>
    <w:rsid w:val="00812E89"/>
    <w:rsid w:val="00814C84"/>
    <w:rsid w:val="00815DA7"/>
    <w:rsid w:val="00821CF8"/>
    <w:rsid w:val="00821E29"/>
    <w:rsid w:val="00823195"/>
    <w:rsid w:val="00827788"/>
    <w:rsid w:val="0083025F"/>
    <w:rsid w:val="0083099C"/>
    <w:rsid w:val="00830A44"/>
    <w:rsid w:val="00832537"/>
    <w:rsid w:val="00833A64"/>
    <w:rsid w:val="00836155"/>
    <w:rsid w:val="00836D6C"/>
    <w:rsid w:val="00836F29"/>
    <w:rsid w:val="008444D6"/>
    <w:rsid w:val="00846EC2"/>
    <w:rsid w:val="00847E3F"/>
    <w:rsid w:val="008516BC"/>
    <w:rsid w:val="00853E68"/>
    <w:rsid w:val="0085655E"/>
    <w:rsid w:val="00862696"/>
    <w:rsid w:val="008629B0"/>
    <w:rsid w:val="0086311A"/>
    <w:rsid w:val="008648F7"/>
    <w:rsid w:val="008652D5"/>
    <w:rsid w:val="00867CD3"/>
    <w:rsid w:val="00870046"/>
    <w:rsid w:val="008711C0"/>
    <w:rsid w:val="00873BA3"/>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6432"/>
    <w:rsid w:val="00897DC3"/>
    <w:rsid w:val="008A058C"/>
    <w:rsid w:val="008A2897"/>
    <w:rsid w:val="008A296B"/>
    <w:rsid w:val="008A3968"/>
    <w:rsid w:val="008A5EF8"/>
    <w:rsid w:val="008A77CB"/>
    <w:rsid w:val="008B142A"/>
    <w:rsid w:val="008B2DD6"/>
    <w:rsid w:val="008B51EC"/>
    <w:rsid w:val="008B5518"/>
    <w:rsid w:val="008B5690"/>
    <w:rsid w:val="008B5D46"/>
    <w:rsid w:val="008B6972"/>
    <w:rsid w:val="008B6DF2"/>
    <w:rsid w:val="008B6F11"/>
    <w:rsid w:val="008B718D"/>
    <w:rsid w:val="008B7AC8"/>
    <w:rsid w:val="008C0D4A"/>
    <w:rsid w:val="008C3079"/>
    <w:rsid w:val="008C3A0A"/>
    <w:rsid w:val="008C3AF2"/>
    <w:rsid w:val="008C4CBE"/>
    <w:rsid w:val="008C5723"/>
    <w:rsid w:val="008C5CC6"/>
    <w:rsid w:val="008C6A19"/>
    <w:rsid w:val="008D21B7"/>
    <w:rsid w:val="008D26B8"/>
    <w:rsid w:val="008D2A32"/>
    <w:rsid w:val="008D31A2"/>
    <w:rsid w:val="008D388D"/>
    <w:rsid w:val="008D3ADB"/>
    <w:rsid w:val="008D511F"/>
    <w:rsid w:val="008E1B45"/>
    <w:rsid w:val="008E1C8B"/>
    <w:rsid w:val="008E2829"/>
    <w:rsid w:val="008E3435"/>
    <w:rsid w:val="008E5BFD"/>
    <w:rsid w:val="008E6E4D"/>
    <w:rsid w:val="008E759F"/>
    <w:rsid w:val="008E7C7B"/>
    <w:rsid w:val="008F3F5E"/>
    <w:rsid w:val="008F4325"/>
    <w:rsid w:val="008F4735"/>
    <w:rsid w:val="008F478A"/>
    <w:rsid w:val="008F6A95"/>
    <w:rsid w:val="008F7457"/>
    <w:rsid w:val="00912A93"/>
    <w:rsid w:val="00913D6F"/>
    <w:rsid w:val="00914BC1"/>
    <w:rsid w:val="00915497"/>
    <w:rsid w:val="0091560D"/>
    <w:rsid w:val="00916CA2"/>
    <w:rsid w:val="00917392"/>
    <w:rsid w:val="0091755E"/>
    <w:rsid w:val="00920C1C"/>
    <w:rsid w:val="009216D3"/>
    <w:rsid w:val="00922B6D"/>
    <w:rsid w:val="00924E12"/>
    <w:rsid w:val="00924F01"/>
    <w:rsid w:val="0092594D"/>
    <w:rsid w:val="00932C50"/>
    <w:rsid w:val="0093317B"/>
    <w:rsid w:val="00933722"/>
    <w:rsid w:val="00933A98"/>
    <w:rsid w:val="0093581C"/>
    <w:rsid w:val="00941418"/>
    <w:rsid w:val="00942C19"/>
    <w:rsid w:val="00943047"/>
    <w:rsid w:val="00943D83"/>
    <w:rsid w:val="00947275"/>
    <w:rsid w:val="009475E1"/>
    <w:rsid w:val="00950C04"/>
    <w:rsid w:val="0095148B"/>
    <w:rsid w:val="0095164E"/>
    <w:rsid w:val="009554FF"/>
    <w:rsid w:val="00956B63"/>
    <w:rsid w:val="00961BD2"/>
    <w:rsid w:val="0096261D"/>
    <w:rsid w:val="009644C0"/>
    <w:rsid w:val="00964D31"/>
    <w:rsid w:val="009657AE"/>
    <w:rsid w:val="009667F1"/>
    <w:rsid w:val="00966E8A"/>
    <w:rsid w:val="009709F2"/>
    <w:rsid w:val="00972012"/>
    <w:rsid w:val="0097255F"/>
    <w:rsid w:val="00973282"/>
    <w:rsid w:val="00973EA7"/>
    <w:rsid w:val="009765BD"/>
    <w:rsid w:val="00976979"/>
    <w:rsid w:val="00976CE0"/>
    <w:rsid w:val="00977388"/>
    <w:rsid w:val="00977493"/>
    <w:rsid w:val="00981E18"/>
    <w:rsid w:val="009842E9"/>
    <w:rsid w:val="00985599"/>
    <w:rsid w:val="00985B70"/>
    <w:rsid w:val="009930C3"/>
    <w:rsid w:val="0099415E"/>
    <w:rsid w:val="00995B71"/>
    <w:rsid w:val="0099629A"/>
    <w:rsid w:val="009A137D"/>
    <w:rsid w:val="009A2381"/>
    <w:rsid w:val="009A364A"/>
    <w:rsid w:val="009A38E7"/>
    <w:rsid w:val="009A4E27"/>
    <w:rsid w:val="009B01FB"/>
    <w:rsid w:val="009B2245"/>
    <w:rsid w:val="009B28D6"/>
    <w:rsid w:val="009B652C"/>
    <w:rsid w:val="009C1FB9"/>
    <w:rsid w:val="009C4852"/>
    <w:rsid w:val="009C723C"/>
    <w:rsid w:val="009D240B"/>
    <w:rsid w:val="009D2418"/>
    <w:rsid w:val="009D31B1"/>
    <w:rsid w:val="009D341B"/>
    <w:rsid w:val="009D45A0"/>
    <w:rsid w:val="009D5376"/>
    <w:rsid w:val="009D5DDD"/>
    <w:rsid w:val="009D76B0"/>
    <w:rsid w:val="009E3356"/>
    <w:rsid w:val="009E5A7D"/>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1DC2"/>
    <w:rsid w:val="00A42BCF"/>
    <w:rsid w:val="00A42D7C"/>
    <w:rsid w:val="00A43E47"/>
    <w:rsid w:val="00A451BD"/>
    <w:rsid w:val="00A4747D"/>
    <w:rsid w:val="00A503A2"/>
    <w:rsid w:val="00A50CAF"/>
    <w:rsid w:val="00A55B47"/>
    <w:rsid w:val="00A569CA"/>
    <w:rsid w:val="00A571FF"/>
    <w:rsid w:val="00A57D61"/>
    <w:rsid w:val="00A57DEC"/>
    <w:rsid w:val="00A622A9"/>
    <w:rsid w:val="00A627CF"/>
    <w:rsid w:val="00A63330"/>
    <w:rsid w:val="00A64883"/>
    <w:rsid w:val="00A66724"/>
    <w:rsid w:val="00A67248"/>
    <w:rsid w:val="00A71F5F"/>
    <w:rsid w:val="00A72A00"/>
    <w:rsid w:val="00A7493B"/>
    <w:rsid w:val="00A74F52"/>
    <w:rsid w:val="00A75EB3"/>
    <w:rsid w:val="00A76E2B"/>
    <w:rsid w:val="00A81CC3"/>
    <w:rsid w:val="00A82521"/>
    <w:rsid w:val="00A865E5"/>
    <w:rsid w:val="00A86B40"/>
    <w:rsid w:val="00A902B4"/>
    <w:rsid w:val="00A90B03"/>
    <w:rsid w:val="00A91721"/>
    <w:rsid w:val="00A91D75"/>
    <w:rsid w:val="00A91E0E"/>
    <w:rsid w:val="00A9289B"/>
    <w:rsid w:val="00A945A9"/>
    <w:rsid w:val="00A9498D"/>
    <w:rsid w:val="00A96132"/>
    <w:rsid w:val="00A9700B"/>
    <w:rsid w:val="00AA0787"/>
    <w:rsid w:val="00AA1A6C"/>
    <w:rsid w:val="00AA33A9"/>
    <w:rsid w:val="00AA476E"/>
    <w:rsid w:val="00AA4AA1"/>
    <w:rsid w:val="00AA7562"/>
    <w:rsid w:val="00AA75B1"/>
    <w:rsid w:val="00AA768C"/>
    <w:rsid w:val="00AB2128"/>
    <w:rsid w:val="00AB24EF"/>
    <w:rsid w:val="00AB295D"/>
    <w:rsid w:val="00AB3068"/>
    <w:rsid w:val="00AB3F07"/>
    <w:rsid w:val="00AB5465"/>
    <w:rsid w:val="00AB60AA"/>
    <w:rsid w:val="00AB6F2F"/>
    <w:rsid w:val="00AC0B61"/>
    <w:rsid w:val="00AC3629"/>
    <w:rsid w:val="00AC46C6"/>
    <w:rsid w:val="00AC60FC"/>
    <w:rsid w:val="00AC694B"/>
    <w:rsid w:val="00AC69C1"/>
    <w:rsid w:val="00AC7FF2"/>
    <w:rsid w:val="00AD0854"/>
    <w:rsid w:val="00AD194D"/>
    <w:rsid w:val="00AD27D3"/>
    <w:rsid w:val="00AD52C2"/>
    <w:rsid w:val="00AD5E7D"/>
    <w:rsid w:val="00AD676C"/>
    <w:rsid w:val="00AE1D4A"/>
    <w:rsid w:val="00AE3319"/>
    <w:rsid w:val="00AE4E78"/>
    <w:rsid w:val="00AE61B8"/>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21053"/>
    <w:rsid w:val="00B215E0"/>
    <w:rsid w:val="00B21B2E"/>
    <w:rsid w:val="00B22A2E"/>
    <w:rsid w:val="00B22F30"/>
    <w:rsid w:val="00B233D6"/>
    <w:rsid w:val="00B275FD"/>
    <w:rsid w:val="00B3050E"/>
    <w:rsid w:val="00B31606"/>
    <w:rsid w:val="00B34661"/>
    <w:rsid w:val="00B4086E"/>
    <w:rsid w:val="00B44726"/>
    <w:rsid w:val="00B44BB7"/>
    <w:rsid w:val="00B45575"/>
    <w:rsid w:val="00B45CEC"/>
    <w:rsid w:val="00B45F85"/>
    <w:rsid w:val="00B514D5"/>
    <w:rsid w:val="00B522F2"/>
    <w:rsid w:val="00B54BED"/>
    <w:rsid w:val="00B60136"/>
    <w:rsid w:val="00B60205"/>
    <w:rsid w:val="00B6126A"/>
    <w:rsid w:val="00B61285"/>
    <w:rsid w:val="00B61617"/>
    <w:rsid w:val="00B616C7"/>
    <w:rsid w:val="00B63347"/>
    <w:rsid w:val="00B637DC"/>
    <w:rsid w:val="00B6394E"/>
    <w:rsid w:val="00B6496A"/>
    <w:rsid w:val="00B650B4"/>
    <w:rsid w:val="00B67524"/>
    <w:rsid w:val="00B70DF2"/>
    <w:rsid w:val="00B72369"/>
    <w:rsid w:val="00B734A0"/>
    <w:rsid w:val="00B747EE"/>
    <w:rsid w:val="00B77DA7"/>
    <w:rsid w:val="00B806DF"/>
    <w:rsid w:val="00B81E50"/>
    <w:rsid w:val="00B82C78"/>
    <w:rsid w:val="00B8659D"/>
    <w:rsid w:val="00B87BDB"/>
    <w:rsid w:val="00B95EE5"/>
    <w:rsid w:val="00BA00BC"/>
    <w:rsid w:val="00BA0AFE"/>
    <w:rsid w:val="00BA0BA8"/>
    <w:rsid w:val="00BA1B40"/>
    <w:rsid w:val="00BA20EF"/>
    <w:rsid w:val="00BA3B05"/>
    <w:rsid w:val="00BA738D"/>
    <w:rsid w:val="00BB1014"/>
    <w:rsid w:val="00BB3101"/>
    <w:rsid w:val="00BB4E83"/>
    <w:rsid w:val="00BB53E8"/>
    <w:rsid w:val="00BC0CF0"/>
    <w:rsid w:val="00BC5A27"/>
    <w:rsid w:val="00BC6AFB"/>
    <w:rsid w:val="00BC7D37"/>
    <w:rsid w:val="00BD1AC6"/>
    <w:rsid w:val="00BD2F75"/>
    <w:rsid w:val="00BD4405"/>
    <w:rsid w:val="00BD6A90"/>
    <w:rsid w:val="00BE000D"/>
    <w:rsid w:val="00BE08EB"/>
    <w:rsid w:val="00BE3449"/>
    <w:rsid w:val="00BE4D04"/>
    <w:rsid w:val="00BE5EF9"/>
    <w:rsid w:val="00BE6BAD"/>
    <w:rsid w:val="00BF5D9F"/>
    <w:rsid w:val="00BF78E9"/>
    <w:rsid w:val="00C026E9"/>
    <w:rsid w:val="00C03D29"/>
    <w:rsid w:val="00C05278"/>
    <w:rsid w:val="00C05E26"/>
    <w:rsid w:val="00C074E2"/>
    <w:rsid w:val="00C07A47"/>
    <w:rsid w:val="00C07C15"/>
    <w:rsid w:val="00C11A2F"/>
    <w:rsid w:val="00C11C26"/>
    <w:rsid w:val="00C132E1"/>
    <w:rsid w:val="00C132F6"/>
    <w:rsid w:val="00C140CF"/>
    <w:rsid w:val="00C14B50"/>
    <w:rsid w:val="00C15330"/>
    <w:rsid w:val="00C16C41"/>
    <w:rsid w:val="00C267F1"/>
    <w:rsid w:val="00C26B6B"/>
    <w:rsid w:val="00C26D3E"/>
    <w:rsid w:val="00C30821"/>
    <w:rsid w:val="00C3266C"/>
    <w:rsid w:val="00C327DF"/>
    <w:rsid w:val="00C32F40"/>
    <w:rsid w:val="00C333A4"/>
    <w:rsid w:val="00C36C19"/>
    <w:rsid w:val="00C36E6D"/>
    <w:rsid w:val="00C408C3"/>
    <w:rsid w:val="00C41E86"/>
    <w:rsid w:val="00C42D11"/>
    <w:rsid w:val="00C44020"/>
    <w:rsid w:val="00C45114"/>
    <w:rsid w:val="00C465AF"/>
    <w:rsid w:val="00C4725B"/>
    <w:rsid w:val="00C514E5"/>
    <w:rsid w:val="00C52934"/>
    <w:rsid w:val="00C53446"/>
    <w:rsid w:val="00C53949"/>
    <w:rsid w:val="00C55776"/>
    <w:rsid w:val="00C56BAA"/>
    <w:rsid w:val="00C57352"/>
    <w:rsid w:val="00C57648"/>
    <w:rsid w:val="00C61053"/>
    <w:rsid w:val="00C61709"/>
    <w:rsid w:val="00C61C9B"/>
    <w:rsid w:val="00C631F8"/>
    <w:rsid w:val="00C63EAD"/>
    <w:rsid w:val="00C641DB"/>
    <w:rsid w:val="00C7147D"/>
    <w:rsid w:val="00C72262"/>
    <w:rsid w:val="00C7465F"/>
    <w:rsid w:val="00C75664"/>
    <w:rsid w:val="00C76231"/>
    <w:rsid w:val="00C76383"/>
    <w:rsid w:val="00C7756B"/>
    <w:rsid w:val="00C82400"/>
    <w:rsid w:val="00C83B33"/>
    <w:rsid w:val="00C83BC4"/>
    <w:rsid w:val="00C843B6"/>
    <w:rsid w:val="00C846FA"/>
    <w:rsid w:val="00C85D9B"/>
    <w:rsid w:val="00C86D05"/>
    <w:rsid w:val="00C91367"/>
    <w:rsid w:val="00C917E3"/>
    <w:rsid w:val="00C91A97"/>
    <w:rsid w:val="00C92F6D"/>
    <w:rsid w:val="00CA2D30"/>
    <w:rsid w:val="00CA3A25"/>
    <w:rsid w:val="00CA42A1"/>
    <w:rsid w:val="00CA7442"/>
    <w:rsid w:val="00CA7DE0"/>
    <w:rsid w:val="00CB1465"/>
    <w:rsid w:val="00CB1BB6"/>
    <w:rsid w:val="00CB56C9"/>
    <w:rsid w:val="00CB5E9B"/>
    <w:rsid w:val="00CC0C7D"/>
    <w:rsid w:val="00CC16BB"/>
    <w:rsid w:val="00CC18BB"/>
    <w:rsid w:val="00CC1C44"/>
    <w:rsid w:val="00CC44A7"/>
    <w:rsid w:val="00CC4D5A"/>
    <w:rsid w:val="00CC52F6"/>
    <w:rsid w:val="00CC5726"/>
    <w:rsid w:val="00CC5CDA"/>
    <w:rsid w:val="00CD007D"/>
    <w:rsid w:val="00CD0988"/>
    <w:rsid w:val="00CD0BA3"/>
    <w:rsid w:val="00CD523F"/>
    <w:rsid w:val="00CD5927"/>
    <w:rsid w:val="00CE00A5"/>
    <w:rsid w:val="00CE0A10"/>
    <w:rsid w:val="00CE0B0B"/>
    <w:rsid w:val="00CE0EC0"/>
    <w:rsid w:val="00CE2447"/>
    <w:rsid w:val="00CE2C31"/>
    <w:rsid w:val="00CE4F89"/>
    <w:rsid w:val="00CF18FC"/>
    <w:rsid w:val="00CF2204"/>
    <w:rsid w:val="00CF3624"/>
    <w:rsid w:val="00CF5AF8"/>
    <w:rsid w:val="00CF624F"/>
    <w:rsid w:val="00D00478"/>
    <w:rsid w:val="00D01BE3"/>
    <w:rsid w:val="00D03250"/>
    <w:rsid w:val="00D0433B"/>
    <w:rsid w:val="00D06450"/>
    <w:rsid w:val="00D0712E"/>
    <w:rsid w:val="00D10C7D"/>
    <w:rsid w:val="00D13A10"/>
    <w:rsid w:val="00D15314"/>
    <w:rsid w:val="00D15D9D"/>
    <w:rsid w:val="00D15FEB"/>
    <w:rsid w:val="00D171B5"/>
    <w:rsid w:val="00D20ED8"/>
    <w:rsid w:val="00D21B12"/>
    <w:rsid w:val="00D22AB8"/>
    <w:rsid w:val="00D2586E"/>
    <w:rsid w:val="00D30AD1"/>
    <w:rsid w:val="00D322EB"/>
    <w:rsid w:val="00D32F6B"/>
    <w:rsid w:val="00D40721"/>
    <w:rsid w:val="00D43600"/>
    <w:rsid w:val="00D460B3"/>
    <w:rsid w:val="00D463CD"/>
    <w:rsid w:val="00D46D69"/>
    <w:rsid w:val="00D46DB3"/>
    <w:rsid w:val="00D47A2A"/>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841"/>
    <w:rsid w:val="00D61A7A"/>
    <w:rsid w:val="00D62456"/>
    <w:rsid w:val="00D6402A"/>
    <w:rsid w:val="00D64E2A"/>
    <w:rsid w:val="00D64F2F"/>
    <w:rsid w:val="00D67AFF"/>
    <w:rsid w:val="00D70D8D"/>
    <w:rsid w:val="00D71438"/>
    <w:rsid w:val="00D723A3"/>
    <w:rsid w:val="00D74113"/>
    <w:rsid w:val="00D74227"/>
    <w:rsid w:val="00D752BF"/>
    <w:rsid w:val="00D75561"/>
    <w:rsid w:val="00D80211"/>
    <w:rsid w:val="00D80D69"/>
    <w:rsid w:val="00D81151"/>
    <w:rsid w:val="00D83E45"/>
    <w:rsid w:val="00D9033D"/>
    <w:rsid w:val="00D90607"/>
    <w:rsid w:val="00D911D0"/>
    <w:rsid w:val="00D9131A"/>
    <w:rsid w:val="00D91AD5"/>
    <w:rsid w:val="00D9459A"/>
    <w:rsid w:val="00D97F90"/>
    <w:rsid w:val="00DA02AA"/>
    <w:rsid w:val="00DA03BD"/>
    <w:rsid w:val="00DA124B"/>
    <w:rsid w:val="00DA1C3E"/>
    <w:rsid w:val="00DA2A70"/>
    <w:rsid w:val="00DB06B9"/>
    <w:rsid w:val="00DB0840"/>
    <w:rsid w:val="00DB0EB3"/>
    <w:rsid w:val="00DB16CB"/>
    <w:rsid w:val="00DB1E0C"/>
    <w:rsid w:val="00DB3E46"/>
    <w:rsid w:val="00DB3F38"/>
    <w:rsid w:val="00DB4EF2"/>
    <w:rsid w:val="00DB5917"/>
    <w:rsid w:val="00DC21C9"/>
    <w:rsid w:val="00DC24B6"/>
    <w:rsid w:val="00DC4985"/>
    <w:rsid w:val="00DC50D4"/>
    <w:rsid w:val="00DC7C64"/>
    <w:rsid w:val="00DD03A0"/>
    <w:rsid w:val="00DD08B2"/>
    <w:rsid w:val="00DD330D"/>
    <w:rsid w:val="00DD3F44"/>
    <w:rsid w:val="00DD6408"/>
    <w:rsid w:val="00DE1528"/>
    <w:rsid w:val="00DE3B5E"/>
    <w:rsid w:val="00DE3E3A"/>
    <w:rsid w:val="00DE59A5"/>
    <w:rsid w:val="00DF0285"/>
    <w:rsid w:val="00DF02B4"/>
    <w:rsid w:val="00DF0F4A"/>
    <w:rsid w:val="00DF21D0"/>
    <w:rsid w:val="00DF3567"/>
    <w:rsid w:val="00DF37F2"/>
    <w:rsid w:val="00DF5449"/>
    <w:rsid w:val="00E00C25"/>
    <w:rsid w:val="00E018DD"/>
    <w:rsid w:val="00E02D95"/>
    <w:rsid w:val="00E04C0A"/>
    <w:rsid w:val="00E054BB"/>
    <w:rsid w:val="00E057DD"/>
    <w:rsid w:val="00E06BCD"/>
    <w:rsid w:val="00E06D28"/>
    <w:rsid w:val="00E101E3"/>
    <w:rsid w:val="00E1043F"/>
    <w:rsid w:val="00E13771"/>
    <w:rsid w:val="00E14478"/>
    <w:rsid w:val="00E14F25"/>
    <w:rsid w:val="00E162E1"/>
    <w:rsid w:val="00E17224"/>
    <w:rsid w:val="00E21416"/>
    <w:rsid w:val="00E226A8"/>
    <w:rsid w:val="00E22AF7"/>
    <w:rsid w:val="00E2342B"/>
    <w:rsid w:val="00E249DD"/>
    <w:rsid w:val="00E25C22"/>
    <w:rsid w:val="00E32526"/>
    <w:rsid w:val="00E4017A"/>
    <w:rsid w:val="00E40977"/>
    <w:rsid w:val="00E418C2"/>
    <w:rsid w:val="00E43C54"/>
    <w:rsid w:val="00E43D51"/>
    <w:rsid w:val="00E44DF4"/>
    <w:rsid w:val="00E4503E"/>
    <w:rsid w:val="00E46913"/>
    <w:rsid w:val="00E51235"/>
    <w:rsid w:val="00E5439E"/>
    <w:rsid w:val="00E55267"/>
    <w:rsid w:val="00E55683"/>
    <w:rsid w:val="00E562A7"/>
    <w:rsid w:val="00E62010"/>
    <w:rsid w:val="00E62DE9"/>
    <w:rsid w:val="00E661E5"/>
    <w:rsid w:val="00E7021D"/>
    <w:rsid w:val="00E70E23"/>
    <w:rsid w:val="00E73AFC"/>
    <w:rsid w:val="00E81BAB"/>
    <w:rsid w:val="00E82661"/>
    <w:rsid w:val="00E840FE"/>
    <w:rsid w:val="00E8697A"/>
    <w:rsid w:val="00E918E4"/>
    <w:rsid w:val="00E958E3"/>
    <w:rsid w:val="00EA08F0"/>
    <w:rsid w:val="00EA1520"/>
    <w:rsid w:val="00EA3769"/>
    <w:rsid w:val="00EA43AF"/>
    <w:rsid w:val="00EA4F01"/>
    <w:rsid w:val="00EA6C2C"/>
    <w:rsid w:val="00EA7BFB"/>
    <w:rsid w:val="00EB24D4"/>
    <w:rsid w:val="00EB2B0E"/>
    <w:rsid w:val="00EB3012"/>
    <w:rsid w:val="00EB31CF"/>
    <w:rsid w:val="00EB3FC3"/>
    <w:rsid w:val="00EB5201"/>
    <w:rsid w:val="00EB5CE1"/>
    <w:rsid w:val="00EB7C6A"/>
    <w:rsid w:val="00EC0CF1"/>
    <w:rsid w:val="00EC16CD"/>
    <w:rsid w:val="00EC1A48"/>
    <w:rsid w:val="00EC1D55"/>
    <w:rsid w:val="00EC56BC"/>
    <w:rsid w:val="00EC59A6"/>
    <w:rsid w:val="00EC6033"/>
    <w:rsid w:val="00ED1401"/>
    <w:rsid w:val="00ED3B36"/>
    <w:rsid w:val="00EE00AA"/>
    <w:rsid w:val="00EE02CB"/>
    <w:rsid w:val="00EE0373"/>
    <w:rsid w:val="00EE2502"/>
    <w:rsid w:val="00EE2883"/>
    <w:rsid w:val="00EE2CAA"/>
    <w:rsid w:val="00EE5FD8"/>
    <w:rsid w:val="00EE75C5"/>
    <w:rsid w:val="00EE782D"/>
    <w:rsid w:val="00EF0509"/>
    <w:rsid w:val="00EF1474"/>
    <w:rsid w:val="00EF207D"/>
    <w:rsid w:val="00EF358B"/>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A38"/>
    <w:rsid w:val="00F25B68"/>
    <w:rsid w:val="00F2695D"/>
    <w:rsid w:val="00F31FC5"/>
    <w:rsid w:val="00F3297D"/>
    <w:rsid w:val="00F35E1F"/>
    <w:rsid w:val="00F362E9"/>
    <w:rsid w:val="00F400E7"/>
    <w:rsid w:val="00F41A6D"/>
    <w:rsid w:val="00F41F46"/>
    <w:rsid w:val="00F42BE4"/>
    <w:rsid w:val="00F430A9"/>
    <w:rsid w:val="00F432E6"/>
    <w:rsid w:val="00F436B0"/>
    <w:rsid w:val="00F465BC"/>
    <w:rsid w:val="00F47C96"/>
    <w:rsid w:val="00F54F5F"/>
    <w:rsid w:val="00F55223"/>
    <w:rsid w:val="00F56A85"/>
    <w:rsid w:val="00F60002"/>
    <w:rsid w:val="00F604D7"/>
    <w:rsid w:val="00F64B14"/>
    <w:rsid w:val="00F67578"/>
    <w:rsid w:val="00F67C52"/>
    <w:rsid w:val="00F7043F"/>
    <w:rsid w:val="00F7568C"/>
    <w:rsid w:val="00F75BEC"/>
    <w:rsid w:val="00F7625D"/>
    <w:rsid w:val="00F76897"/>
    <w:rsid w:val="00F77B7C"/>
    <w:rsid w:val="00F82492"/>
    <w:rsid w:val="00F82B40"/>
    <w:rsid w:val="00F83EA2"/>
    <w:rsid w:val="00F87799"/>
    <w:rsid w:val="00F87A96"/>
    <w:rsid w:val="00F93FE4"/>
    <w:rsid w:val="00F94F7B"/>
    <w:rsid w:val="00F96A1C"/>
    <w:rsid w:val="00FA19C1"/>
    <w:rsid w:val="00FA2423"/>
    <w:rsid w:val="00FA5956"/>
    <w:rsid w:val="00FA65C3"/>
    <w:rsid w:val="00FA7B50"/>
    <w:rsid w:val="00FB0C32"/>
    <w:rsid w:val="00FB0C3D"/>
    <w:rsid w:val="00FB160E"/>
    <w:rsid w:val="00FB1D79"/>
    <w:rsid w:val="00FB231C"/>
    <w:rsid w:val="00FB249F"/>
    <w:rsid w:val="00FB2894"/>
    <w:rsid w:val="00FB2A3D"/>
    <w:rsid w:val="00FB3328"/>
    <w:rsid w:val="00FB3BB9"/>
    <w:rsid w:val="00FB4A7F"/>
    <w:rsid w:val="00FB56EA"/>
    <w:rsid w:val="00FB6127"/>
    <w:rsid w:val="00FB6ABE"/>
    <w:rsid w:val="00FB7655"/>
    <w:rsid w:val="00FB77CE"/>
    <w:rsid w:val="00FB7925"/>
    <w:rsid w:val="00FC3C2B"/>
    <w:rsid w:val="00FC5B0F"/>
    <w:rsid w:val="00FD0D62"/>
    <w:rsid w:val="00FD12FA"/>
    <w:rsid w:val="00FD17D1"/>
    <w:rsid w:val="00FD1E0E"/>
    <w:rsid w:val="00FD2220"/>
    <w:rsid w:val="00FD22FD"/>
    <w:rsid w:val="00FD2971"/>
    <w:rsid w:val="00FD69AE"/>
    <w:rsid w:val="00FD6CE9"/>
    <w:rsid w:val="00FE0D5A"/>
    <w:rsid w:val="00FE2AA3"/>
    <w:rsid w:val="00FE3E50"/>
    <w:rsid w:val="00FE461F"/>
    <w:rsid w:val="00FE5F93"/>
    <w:rsid w:val="00FE6F09"/>
    <w:rsid w:val="00FE7597"/>
    <w:rsid w:val="00FE7A8B"/>
    <w:rsid w:val="00FF08F2"/>
    <w:rsid w:val="00FF2B6D"/>
    <w:rsid w:val="00FF37CE"/>
    <w:rsid w:val="01690692"/>
    <w:rsid w:val="01945154"/>
    <w:rsid w:val="01ED668D"/>
    <w:rsid w:val="02947E8F"/>
    <w:rsid w:val="029923AC"/>
    <w:rsid w:val="02E126BF"/>
    <w:rsid w:val="02F77057"/>
    <w:rsid w:val="03427EA4"/>
    <w:rsid w:val="03AA5843"/>
    <w:rsid w:val="046746BF"/>
    <w:rsid w:val="05E94E1C"/>
    <w:rsid w:val="066A2EA0"/>
    <w:rsid w:val="06D923F9"/>
    <w:rsid w:val="07292AB6"/>
    <w:rsid w:val="076736D0"/>
    <w:rsid w:val="07D17BDC"/>
    <w:rsid w:val="08561549"/>
    <w:rsid w:val="08A86FE7"/>
    <w:rsid w:val="09397EEF"/>
    <w:rsid w:val="09423B4A"/>
    <w:rsid w:val="09A24838"/>
    <w:rsid w:val="09D942FB"/>
    <w:rsid w:val="09E33638"/>
    <w:rsid w:val="0A2A2CFE"/>
    <w:rsid w:val="0AA37D0C"/>
    <w:rsid w:val="0AC57FE6"/>
    <w:rsid w:val="0B1D0547"/>
    <w:rsid w:val="0B9C7478"/>
    <w:rsid w:val="0C443A0C"/>
    <w:rsid w:val="0C6E3685"/>
    <w:rsid w:val="0C9B1C1B"/>
    <w:rsid w:val="0CDB6CAE"/>
    <w:rsid w:val="0CE57C10"/>
    <w:rsid w:val="0CF733EA"/>
    <w:rsid w:val="0D1A65F5"/>
    <w:rsid w:val="0D474BD9"/>
    <w:rsid w:val="0D716AA8"/>
    <w:rsid w:val="0DD1511D"/>
    <w:rsid w:val="0DDA100E"/>
    <w:rsid w:val="0E162BCB"/>
    <w:rsid w:val="0E1D458B"/>
    <w:rsid w:val="0E3A00D1"/>
    <w:rsid w:val="0E46153A"/>
    <w:rsid w:val="0E6D514B"/>
    <w:rsid w:val="0E983E0D"/>
    <w:rsid w:val="0EC337C4"/>
    <w:rsid w:val="0ED50D51"/>
    <w:rsid w:val="0F1D6A99"/>
    <w:rsid w:val="0FF26C65"/>
    <w:rsid w:val="10A87D0B"/>
    <w:rsid w:val="113F4DF8"/>
    <w:rsid w:val="116F0062"/>
    <w:rsid w:val="118919EF"/>
    <w:rsid w:val="11AB0CC8"/>
    <w:rsid w:val="11E2316A"/>
    <w:rsid w:val="122D73E5"/>
    <w:rsid w:val="1242163D"/>
    <w:rsid w:val="132570F0"/>
    <w:rsid w:val="138C6A76"/>
    <w:rsid w:val="13931E3E"/>
    <w:rsid w:val="13E955A7"/>
    <w:rsid w:val="1505762F"/>
    <w:rsid w:val="1542410B"/>
    <w:rsid w:val="15454472"/>
    <w:rsid w:val="15A12CC9"/>
    <w:rsid w:val="15CE62D3"/>
    <w:rsid w:val="16120592"/>
    <w:rsid w:val="163A445E"/>
    <w:rsid w:val="16B8097E"/>
    <w:rsid w:val="16D67CFF"/>
    <w:rsid w:val="171013E7"/>
    <w:rsid w:val="172203D5"/>
    <w:rsid w:val="1760774B"/>
    <w:rsid w:val="178C3B8D"/>
    <w:rsid w:val="17D250B1"/>
    <w:rsid w:val="17D61600"/>
    <w:rsid w:val="17DF2C26"/>
    <w:rsid w:val="18C35564"/>
    <w:rsid w:val="18C471AB"/>
    <w:rsid w:val="18DA75F8"/>
    <w:rsid w:val="19100BBF"/>
    <w:rsid w:val="194271B4"/>
    <w:rsid w:val="196838F6"/>
    <w:rsid w:val="197B2517"/>
    <w:rsid w:val="19D53308"/>
    <w:rsid w:val="1A6D4179"/>
    <w:rsid w:val="1A8E0379"/>
    <w:rsid w:val="1B015D23"/>
    <w:rsid w:val="1B2C3CFF"/>
    <w:rsid w:val="1B716135"/>
    <w:rsid w:val="1BAB6914"/>
    <w:rsid w:val="1BEB57C6"/>
    <w:rsid w:val="1D2043B5"/>
    <w:rsid w:val="1DAC007C"/>
    <w:rsid w:val="1DF27FB8"/>
    <w:rsid w:val="1DF50076"/>
    <w:rsid w:val="1E216B7F"/>
    <w:rsid w:val="1E525DA0"/>
    <w:rsid w:val="1E633A5E"/>
    <w:rsid w:val="1E804FDE"/>
    <w:rsid w:val="1F961E9B"/>
    <w:rsid w:val="1FA54550"/>
    <w:rsid w:val="1FD32E8E"/>
    <w:rsid w:val="209A07D1"/>
    <w:rsid w:val="2104292C"/>
    <w:rsid w:val="210B52BB"/>
    <w:rsid w:val="225C5DBF"/>
    <w:rsid w:val="22E55C93"/>
    <w:rsid w:val="230448FD"/>
    <w:rsid w:val="230873D2"/>
    <w:rsid w:val="23775B38"/>
    <w:rsid w:val="23783A45"/>
    <w:rsid w:val="239F26B9"/>
    <w:rsid w:val="23D22A8F"/>
    <w:rsid w:val="23F9151A"/>
    <w:rsid w:val="245F02B9"/>
    <w:rsid w:val="246A0820"/>
    <w:rsid w:val="24734413"/>
    <w:rsid w:val="250004BC"/>
    <w:rsid w:val="250A2BFE"/>
    <w:rsid w:val="250B0006"/>
    <w:rsid w:val="25547647"/>
    <w:rsid w:val="2568130E"/>
    <w:rsid w:val="2597581F"/>
    <w:rsid w:val="262F5563"/>
    <w:rsid w:val="26664317"/>
    <w:rsid w:val="267B6356"/>
    <w:rsid w:val="269579B2"/>
    <w:rsid w:val="26D11062"/>
    <w:rsid w:val="27035287"/>
    <w:rsid w:val="27C968B0"/>
    <w:rsid w:val="27EF6ED2"/>
    <w:rsid w:val="27F04C86"/>
    <w:rsid w:val="28021440"/>
    <w:rsid w:val="287A1460"/>
    <w:rsid w:val="288749A3"/>
    <w:rsid w:val="28D810D0"/>
    <w:rsid w:val="28EE44DB"/>
    <w:rsid w:val="29081970"/>
    <w:rsid w:val="2B0C0C2F"/>
    <w:rsid w:val="2B4C3A3D"/>
    <w:rsid w:val="2B9B36F7"/>
    <w:rsid w:val="2BF57498"/>
    <w:rsid w:val="2C455090"/>
    <w:rsid w:val="2C59053B"/>
    <w:rsid w:val="2C705F05"/>
    <w:rsid w:val="2C8A7F77"/>
    <w:rsid w:val="2C934B79"/>
    <w:rsid w:val="2CF613CF"/>
    <w:rsid w:val="2D3E4BDC"/>
    <w:rsid w:val="2D420991"/>
    <w:rsid w:val="2D737089"/>
    <w:rsid w:val="2D9F4CE2"/>
    <w:rsid w:val="2DF976E6"/>
    <w:rsid w:val="2E186F7F"/>
    <w:rsid w:val="2E6D0878"/>
    <w:rsid w:val="2F015FDC"/>
    <w:rsid w:val="2F250FA6"/>
    <w:rsid w:val="2F3317B3"/>
    <w:rsid w:val="2F3915E8"/>
    <w:rsid w:val="2F3C05A5"/>
    <w:rsid w:val="2F67256D"/>
    <w:rsid w:val="2F6733E1"/>
    <w:rsid w:val="2F785FE9"/>
    <w:rsid w:val="2F7F1ED7"/>
    <w:rsid w:val="30510342"/>
    <w:rsid w:val="306A1DC8"/>
    <w:rsid w:val="307D1282"/>
    <w:rsid w:val="30AF4464"/>
    <w:rsid w:val="30E20D41"/>
    <w:rsid w:val="310413DA"/>
    <w:rsid w:val="310B6CB2"/>
    <w:rsid w:val="31306DB5"/>
    <w:rsid w:val="314A0219"/>
    <w:rsid w:val="31526875"/>
    <w:rsid w:val="315D60AB"/>
    <w:rsid w:val="31986C64"/>
    <w:rsid w:val="3292722B"/>
    <w:rsid w:val="32CB6021"/>
    <w:rsid w:val="32F03F08"/>
    <w:rsid w:val="32FC216F"/>
    <w:rsid w:val="33204D66"/>
    <w:rsid w:val="33293539"/>
    <w:rsid w:val="334F1247"/>
    <w:rsid w:val="33591523"/>
    <w:rsid w:val="33B125D5"/>
    <w:rsid w:val="3448342B"/>
    <w:rsid w:val="345C71D0"/>
    <w:rsid w:val="34645EFC"/>
    <w:rsid w:val="352C1E5F"/>
    <w:rsid w:val="353A3896"/>
    <w:rsid w:val="35401858"/>
    <w:rsid w:val="35406945"/>
    <w:rsid w:val="35BC1FB1"/>
    <w:rsid w:val="37163CF8"/>
    <w:rsid w:val="3725104F"/>
    <w:rsid w:val="37C5701D"/>
    <w:rsid w:val="37FB1B8B"/>
    <w:rsid w:val="397F79B5"/>
    <w:rsid w:val="3A0D5D8C"/>
    <w:rsid w:val="3A975AC0"/>
    <w:rsid w:val="3B4C3A1D"/>
    <w:rsid w:val="3B8A188D"/>
    <w:rsid w:val="3BC24594"/>
    <w:rsid w:val="3CB17365"/>
    <w:rsid w:val="3D046AB9"/>
    <w:rsid w:val="3D651E26"/>
    <w:rsid w:val="3D7E37BC"/>
    <w:rsid w:val="3DD161C3"/>
    <w:rsid w:val="3DF05512"/>
    <w:rsid w:val="3E2F49DA"/>
    <w:rsid w:val="3E6400FF"/>
    <w:rsid w:val="3E647A6E"/>
    <w:rsid w:val="3E722BA4"/>
    <w:rsid w:val="3E811AFF"/>
    <w:rsid w:val="3E863485"/>
    <w:rsid w:val="3EED4C7E"/>
    <w:rsid w:val="3F686F2F"/>
    <w:rsid w:val="3FBE5FFD"/>
    <w:rsid w:val="3FEC145F"/>
    <w:rsid w:val="400D5E1D"/>
    <w:rsid w:val="40645469"/>
    <w:rsid w:val="41136002"/>
    <w:rsid w:val="41346891"/>
    <w:rsid w:val="41827350"/>
    <w:rsid w:val="41A2765A"/>
    <w:rsid w:val="423D52C1"/>
    <w:rsid w:val="425B1520"/>
    <w:rsid w:val="42B879CA"/>
    <w:rsid w:val="42EE0F2B"/>
    <w:rsid w:val="43534715"/>
    <w:rsid w:val="43711631"/>
    <w:rsid w:val="438B3486"/>
    <w:rsid w:val="43B40A8F"/>
    <w:rsid w:val="43B55A83"/>
    <w:rsid w:val="44054204"/>
    <w:rsid w:val="44667854"/>
    <w:rsid w:val="446F3407"/>
    <w:rsid w:val="44D44766"/>
    <w:rsid w:val="44E45A65"/>
    <w:rsid w:val="452E51AA"/>
    <w:rsid w:val="455A633B"/>
    <w:rsid w:val="463D2975"/>
    <w:rsid w:val="4709732F"/>
    <w:rsid w:val="471F0313"/>
    <w:rsid w:val="47380A53"/>
    <w:rsid w:val="476479F5"/>
    <w:rsid w:val="47716227"/>
    <w:rsid w:val="47837540"/>
    <w:rsid w:val="47E15F70"/>
    <w:rsid w:val="484F1E7E"/>
    <w:rsid w:val="48A64A1C"/>
    <w:rsid w:val="48C61C33"/>
    <w:rsid w:val="491A0ABF"/>
    <w:rsid w:val="493948E7"/>
    <w:rsid w:val="4970740A"/>
    <w:rsid w:val="49900872"/>
    <w:rsid w:val="49A17634"/>
    <w:rsid w:val="49A97395"/>
    <w:rsid w:val="49DD7FC8"/>
    <w:rsid w:val="49E951B3"/>
    <w:rsid w:val="4AB85C05"/>
    <w:rsid w:val="4B427F8A"/>
    <w:rsid w:val="4BC958EB"/>
    <w:rsid w:val="4BD431FF"/>
    <w:rsid w:val="4BDD5A22"/>
    <w:rsid w:val="4C023275"/>
    <w:rsid w:val="4C07073B"/>
    <w:rsid w:val="4CCF6645"/>
    <w:rsid w:val="4E3B03B3"/>
    <w:rsid w:val="4E901520"/>
    <w:rsid w:val="4E99682F"/>
    <w:rsid w:val="4EA77D5D"/>
    <w:rsid w:val="4F23558E"/>
    <w:rsid w:val="4FAE354D"/>
    <w:rsid w:val="4FBA02ED"/>
    <w:rsid w:val="505E7A8B"/>
    <w:rsid w:val="51037C3F"/>
    <w:rsid w:val="510A1AA7"/>
    <w:rsid w:val="51242F69"/>
    <w:rsid w:val="512D1056"/>
    <w:rsid w:val="51AB3255"/>
    <w:rsid w:val="51CB5A51"/>
    <w:rsid w:val="529D0F4A"/>
    <w:rsid w:val="52A96B7B"/>
    <w:rsid w:val="530E0BE9"/>
    <w:rsid w:val="533731A0"/>
    <w:rsid w:val="546D1B24"/>
    <w:rsid w:val="54AB790D"/>
    <w:rsid w:val="54B772D8"/>
    <w:rsid w:val="54D037F3"/>
    <w:rsid w:val="55753354"/>
    <w:rsid w:val="5578671C"/>
    <w:rsid w:val="55D46E01"/>
    <w:rsid w:val="56073DCC"/>
    <w:rsid w:val="56F168F8"/>
    <w:rsid w:val="578238A9"/>
    <w:rsid w:val="58010A44"/>
    <w:rsid w:val="58C12475"/>
    <w:rsid w:val="58FB7CE5"/>
    <w:rsid w:val="590C4A5E"/>
    <w:rsid w:val="598A40D8"/>
    <w:rsid w:val="5A3822C4"/>
    <w:rsid w:val="5A4C04E2"/>
    <w:rsid w:val="5A5D53A0"/>
    <w:rsid w:val="5AB746A4"/>
    <w:rsid w:val="5ACD483B"/>
    <w:rsid w:val="5B11120F"/>
    <w:rsid w:val="5B153A5A"/>
    <w:rsid w:val="5B1E534D"/>
    <w:rsid w:val="5B5C17F6"/>
    <w:rsid w:val="5B86329C"/>
    <w:rsid w:val="5C667E54"/>
    <w:rsid w:val="5CDB64B3"/>
    <w:rsid w:val="5DB91914"/>
    <w:rsid w:val="5DC57B14"/>
    <w:rsid w:val="5DCE7611"/>
    <w:rsid w:val="5DDE210D"/>
    <w:rsid w:val="5DEE6E0C"/>
    <w:rsid w:val="5E265C72"/>
    <w:rsid w:val="5E503FB5"/>
    <w:rsid w:val="5E72421F"/>
    <w:rsid w:val="5E8521E7"/>
    <w:rsid w:val="5EAC3895"/>
    <w:rsid w:val="5F124BFF"/>
    <w:rsid w:val="5F2A082E"/>
    <w:rsid w:val="5F672A89"/>
    <w:rsid w:val="5FF32E14"/>
    <w:rsid w:val="60351BE4"/>
    <w:rsid w:val="61674C92"/>
    <w:rsid w:val="61853A9D"/>
    <w:rsid w:val="61F42104"/>
    <w:rsid w:val="62093DB7"/>
    <w:rsid w:val="62BC65DA"/>
    <w:rsid w:val="62E01B0C"/>
    <w:rsid w:val="63611354"/>
    <w:rsid w:val="63D3206A"/>
    <w:rsid w:val="64BC46A5"/>
    <w:rsid w:val="64F3303A"/>
    <w:rsid w:val="65165EA8"/>
    <w:rsid w:val="65D70485"/>
    <w:rsid w:val="664941C0"/>
    <w:rsid w:val="66974CA5"/>
    <w:rsid w:val="66CF2BBD"/>
    <w:rsid w:val="670D0A95"/>
    <w:rsid w:val="675E37FC"/>
    <w:rsid w:val="67EE17A5"/>
    <w:rsid w:val="684F1D8E"/>
    <w:rsid w:val="68542A6C"/>
    <w:rsid w:val="68D428AC"/>
    <w:rsid w:val="68FD7718"/>
    <w:rsid w:val="698A2CB7"/>
    <w:rsid w:val="69B9243F"/>
    <w:rsid w:val="69DE2A1C"/>
    <w:rsid w:val="6A0B12A0"/>
    <w:rsid w:val="6A6A43CE"/>
    <w:rsid w:val="6A80441B"/>
    <w:rsid w:val="6A81665A"/>
    <w:rsid w:val="6A8A5E15"/>
    <w:rsid w:val="6AAE349E"/>
    <w:rsid w:val="6ABF198C"/>
    <w:rsid w:val="6C0B4217"/>
    <w:rsid w:val="6C17118C"/>
    <w:rsid w:val="6CED0B05"/>
    <w:rsid w:val="6D7643C2"/>
    <w:rsid w:val="6D953B9F"/>
    <w:rsid w:val="6DE23AF2"/>
    <w:rsid w:val="6E1C1EE5"/>
    <w:rsid w:val="6E575C8E"/>
    <w:rsid w:val="6E6A4A98"/>
    <w:rsid w:val="6ED94727"/>
    <w:rsid w:val="6EF83965"/>
    <w:rsid w:val="6F064C33"/>
    <w:rsid w:val="6F6E4104"/>
    <w:rsid w:val="6F806469"/>
    <w:rsid w:val="6FF31F54"/>
    <w:rsid w:val="70AB0D59"/>
    <w:rsid w:val="70EC465E"/>
    <w:rsid w:val="712B17BB"/>
    <w:rsid w:val="712B6380"/>
    <w:rsid w:val="714540BD"/>
    <w:rsid w:val="714D1278"/>
    <w:rsid w:val="717B7B17"/>
    <w:rsid w:val="717C364E"/>
    <w:rsid w:val="72712DA3"/>
    <w:rsid w:val="73136235"/>
    <w:rsid w:val="736D63FD"/>
    <w:rsid w:val="7409334B"/>
    <w:rsid w:val="74136BFD"/>
    <w:rsid w:val="74487A32"/>
    <w:rsid w:val="76AA774E"/>
    <w:rsid w:val="77200AA7"/>
    <w:rsid w:val="773D47CF"/>
    <w:rsid w:val="775C1413"/>
    <w:rsid w:val="777E1DA7"/>
    <w:rsid w:val="78406976"/>
    <w:rsid w:val="794D5448"/>
    <w:rsid w:val="7A484ABE"/>
    <w:rsid w:val="7A4F02F8"/>
    <w:rsid w:val="7AD45EAA"/>
    <w:rsid w:val="7ADB460D"/>
    <w:rsid w:val="7B0D1546"/>
    <w:rsid w:val="7B7350D8"/>
    <w:rsid w:val="7BA50EB4"/>
    <w:rsid w:val="7BA64FA9"/>
    <w:rsid w:val="7BB14741"/>
    <w:rsid w:val="7BEE130F"/>
    <w:rsid w:val="7C3E2BC4"/>
    <w:rsid w:val="7C8D6E5F"/>
    <w:rsid w:val="7CA62D01"/>
    <w:rsid w:val="7CA6799B"/>
    <w:rsid w:val="7CFC4983"/>
    <w:rsid w:val="7D3C4A55"/>
    <w:rsid w:val="7D43587C"/>
    <w:rsid w:val="7E047800"/>
    <w:rsid w:val="7E4055E3"/>
    <w:rsid w:val="7E5E653B"/>
    <w:rsid w:val="7E8C5807"/>
    <w:rsid w:val="7EA90D00"/>
    <w:rsid w:val="7EC94256"/>
    <w:rsid w:val="7EDC6AC5"/>
    <w:rsid w:val="7F372284"/>
    <w:rsid w:val="7FE810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Char"/>
    <w:link w:val="2"/>
    <w:qFormat/>
    <w:uiPriority w:val="0"/>
    <w:rPr>
      <w:kern w:val="2"/>
      <w:sz w:val="21"/>
    </w:rPr>
  </w:style>
  <w:style w:type="character" w:customStyle="1" w:styleId="18">
    <w:name w:val="纯文本 Char"/>
    <w:link w:val="4"/>
    <w:qFormat/>
    <w:uiPriority w:val="99"/>
    <w:rPr>
      <w:rFonts w:ascii="宋体" w:hAnsi="Courier New"/>
      <w:kern w:val="2"/>
      <w:sz w:val="21"/>
    </w:rPr>
  </w:style>
  <w:style w:type="character" w:customStyle="1" w:styleId="19">
    <w:name w:val="页脚 Char"/>
    <w:link w:val="7"/>
    <w:qFormat/>
    <w:uiPriority w:val="0"/>
    <w:rPr>
      <w:kern w:val="2"/>
      <w:sz w:val="18"/>
      <w:szCs w:val="18"/>
    </w:rPr>
  </w:style>
  <w:style w:type="character" w:customStyle="1" w:styleId="20">
    <w:name w:val="页眉 Char"/>
    <w:link w:val="8"/>
    <w:qFormat/>
    <w:uiPriority w:val="0"/>
    <w:rPr>
      <w:kern w:val="2"/>
      <w:sz w:val="18"/>
      <w:szCs w:val="18"/>
    </w:rPr>
  </w:style>
  <w:style w:type="character" w:customStyle="1" w:styleId="21">
    <w:name w:val="批注主题 Char"/>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 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立信附注正文 [2级]"/>
    <w:qFormat/>
    <w:uiPriority w:val="0"/>
    <w:pPr>
      <w:widowControl w:val="0"/>
      <w:tabs>
        <w:tab w:val="left" w:pos="0"/>
      </w:tabs>
      <w:adjustRightInd w:val="0"/>
      <w:snapToGrid w:val="0"/>
      <w:spacing w:line="400" w:lineRule="atLeast"/>
      <w:ind w:left="714"/>
      <w:jc w:val="both"/>
    </w:pPr>
    <w:rPr>
      <w:rFonts w:ascii="Times New Roman" w:hAnsi="Times New Roman" w:eastAsia="宋体" w:cs="Times New Roman"/>
      <w:color w:val="000000"/>
      <w:kern w:val="2"/>
      <w:sz w:val="21"/>
      <w:szCs w:val="21"/>
      <w:lang w:val="en-US" w:eastAsia="zh-CN" w:bidi="ar-SA"/>
    </w:rPr>
  </w:style>
  <w:style w:type="paragraph" w:customStyle="1" w:styleId="31">
    <w:name w:val="立信附注正文 [3级]"/>
    <w:qFormat/>
    <w:uiPriority w:val="0"/>
    <w:pPr>
      <w:widowControl w:val="0"/>
      <w:tabs>
        <w:tab w:val="left" w:pos="0"/>
      </w:tabs>
      <w:adjustRightInd w:val="0"/>
      <w:snapToGrid w:val="0"/>
      <w:spacing w:line="400" w:lineRule="atLeast"/>
      <w:ind w:left="1276"/>
      <w:jc w:val="both"/>
    </w:pPr>
    <w:rPr>
      <w:rFonts w:ascii="Times New Roman" w:hAnsi="Times New Roman" w:eastAsia="宋体" w:cs="Times New Roman"/>
      <w:color w:val="000000"/>
      <w:kern w:val="2"/>
      <w:sz w:val="21"/>
      <w:szCs w:val="21"/>
      <w:lang w:val="en-US" w:eastAsia="zh-CN" w:bidi="ar-SA"/>
    </w:rPr>
  </w:style>
  <w:style w:type="table" w:customStyle="1" w:styleId="32">
    <w:name w:val="立信年报表格 [3级]"/>
    <w:basedOn w:val="11"/>
    <w:qFormat/>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table" w:customStyle="1" w:styleId="33">
    <w:name w:val="立信年报表格 [2级]"/>
    <w:basedOn w:val="11"/>
    <w:qFormat/>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character" w:customStyle="1" w:styleId="34">
    <w:name w:val="font61"/>
    <w:basedOn w:val="14"/>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6040</Words>
  <Characters>7249</Characters>
  <Lines>52</Lines>
  <Paragraphs>14</Paragraphs>
  <TotalTime>32</TotalTime>
  <ScaleCrop>false</ScaleCrop>
  <LinksUpToDate>false</LinksUpToDate>
  <CharactersWithSpaces>7312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2020-04-28T00:42:00Z</dcterms:created>
  <dc:creator>qw</dc:creator>
  <cp:lastModifiedBy>P243116</cp:lastModifiedBy>
  <cp:lastPrinted>2024-04-26T02:57:00Z</cp:lastPrinted>
  <dcterms:modified xsi:type="dcterms:W3CDTF">2024-04-26T09:00:00Z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